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Title: Deleted Data Recovery Report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Objective</w:t>
        <w:br/>
        <w:t xml:space="preserve">Recover deleted files from a storage device and verify the integrity of restored data.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</w:t>
        <w:br/>
        <w:t xml:space="preserve">EaseUS Data Recovery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CVE-2023-32221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Methodology</w:t>
        <w:br/>
        <w:t xml:space="preserve">Installed the recovery tool on a clean system to avoid overwriting target sectors. Selected the affected drive and initiated a full scan to enumerate recoverable file entries. Reviewed identified items, prioritized files with intact directory structures, and executed the recovery process to a separate storage location to prevent data conflict. Validated the restored files by checking readability and file integrity.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Proof of Concept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747" w:dyaOrig="5163">
          <v:rect xmlns:o="urn:schemas-microsoft-com:office:office" xmlns:v="urn:schemas-microsoft-com:vml" id="rectole0000000000" style="width:437.350000pt;height:258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Screenshots of the scan results and recovered file listing will be attached.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Conclusion</w:t>
        <w:br/>
        <w:t xml:space="preserve">EaseUS Data Recovery retrieves deleted content by scanning residual file-system records and unallocated sectors. The process restores usable data when overwriting has not occurred, providing effective reconstruction of lost files and supporting post-recovery verification.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