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Google Dorks Assessment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Identify publicly exposed files and misconfigured resources using advanced search operators.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Google Dorking (Search Operators).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Reviewed reference lists of known dorks on GDH/OSINT index sites to understand patterns for file exposure and directory discovery. Applied targeted dorks through Google to test real-world visibility of sensitive assets. Executed the query:</w:t>
        <w:br/>
        <w:t xml:space="preserve">inurl:nasa.gov ext:xls</w:t>
        <w:br/>
        <w:t xml:space="preserve">to enumerate spreadsheet files indexed under the nasa.gov domain. Located an exposed Excel document returned directly through public search results. Verified that the file was accessible without authentication, confirming misconfigured indexing and exposure.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64" w:dyaOrig="4872">
          <v:rect xmlns:o="urn:schemas-microsoft-com:office:office" xmlns:v="urn:schemas-microsoft-com:vml" id="rectole0000000000" style="width:433.200000pt;height:243.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64" w:dyaOrig="4872">
          <v:rect xmlns:o="urn:schemas-microsoft-com:office:office" xmlns:v="urn:schemas-microsoft-com:vml" id="rectole0000000001" style="width:433.200000pt;height:243.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64" w:dyaOrig="4872">
          <v:rect xmlns:o="urn:schemas-microsoft-com:office:office" xmlns:v="urn:schemas-microsoft-com:vml" id="rectole0000000002" style="width:433.200000pt;height:243.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Google dorking reveals the extent of unintended public exposure caused by improper indexing rules and insecure file placement. The located Excel file demonstrates how simple search operators can uncover sensitive assets. This highlights the importance of strict access controls, robots.txt configuration, and regular exposure auditing to prevent data leakage</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