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Title: OSINT Enumeration Report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Objective</w:t>
        <w:br/>
        <w:t xml:space="preserve">Identify publicly associated usernames and linked digital footprints through structured open-source intelligence techniques.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Tools</w:t>
        <w:br/>
        <w:t xml:space="preserve">OSINT Framework</w:t>
        <w:br/>
        <w:t xml:space="preserve">WhatIsMyName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Methodology</w:t>
        <w:br/>
        <w:t xml:space="preserve">Used the OSINT Framework to map relevant categories for account discovery, focusing on username enumeration. Accessed WhatIsMyName and submitted the target username to query against supported platforms. Retrieved platform-specific hits and non-hits to determine where the username is present, reused, or unclaimed. Reviewed each confirmed match for visible profile data, activity traces, and association strength.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Proof of Concept</w:t>
        <w:br/>
      </w:r>
      <w:r>
        <w:object w:dxaOrig="8664" w:dyaOrig="4872">
          <v:rect xmlns:o="urn:schemas-microsoft-com:office:office" xmlns:v="urn:schemas-microsoft-com:vml" id="rectole0000000000" style="width:433.200000pt;height:243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8664" w:dyaOrig="4876">
          <v:rect xmlns:o="urn:schemas-microsoft-com:office:office" xmlns:v="urn:schemas-microsoft-com:vml" id="rectole0000000001" style="width:433.200000pt;height:243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Conclusion:</w:t>
        <w:br/>
        <w:t xml:space="preserve">Structured OSINT enumeration exposes the distribution of a username across multiple services. The results reveal account presence, reuse patterns, and potential linkage points. This forms a factual baseline for identity mapping and broader digital-footprint analysis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