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C261C" w14:textId="77777777" w:rsidR="00F72D9E" w:rsidRPr="00C253C8" w:rsidRDefault="00000000">
      <w:pPr>
        <w:spacing w:after="240"/>
        <w:jc w:val="center"/>
      </w:pPr>
      <w:r w:rsidRPr="00C253C8">
        <w:rPr>
          <w:rFonts w:cs="Times New Roman"/>
          <w:color w:val="000000"/>
          <w:sz w:val="48"/>
        </w:rPr>
        <w:t>BlockVote: A Gasless, Coercion-Resistant Decentralized E-Voting System Combining Sensor-Driven Biometric Liveness, UUPS Multi-Signature Governance, and On-Chain Keccak-256 Nullifiers</w:t>
      </w:r>
    </w:p>
    <w:tbl>
      <w:tblPr>
        <w:tblW w:w="0" w:type="auto"/>
        <w:jc w:val="center"/>
        <w:tblLayout w:type="fixed"/>
        <w:tblLook w:val="04A0" w:firstRow="1" w:lastRow="0" w:firstColumn="1" w:lastColumn="0" w:noHBand="0" w:noVBand="1"/>
      </w:tblPr>
      <w:tblGrid>
        <w:gridCol w:w="2333"/>
        <w:gridCol w:w="2333"/>
        <w:gridCol w:w="2333"/>
        <w:gridCol w:w="2333"/>
      </w:tblGrid>
      <w:tr w:rsidR="00F72D9E" w:rsidRPr="00C253C8" w14:paraId="0FE2CF0D" w14:textId="77777777">
        <w:trPr>
          <w:jc w:val="center"/>
        </w:trPr>
        <w:tc>
          <w:tcPr>
            <w:tcW w:w="2333" w:type="dxa"/>
            <w:tcBorders>
              <w:top w:val="nil"/>
              <w:left w:val="nil"/>
              <w:bottom w:val="nil"/>
              <w:right w:val="nil"/>
            </w:tcBorders>
          </w:tcPr>
          <w:p w14:paraId="38BEADE1" w14:textId="77777777" w:rsidR="00F72D9E" w:rsidRPr="00C253C8" w:rsidRDefault="00000000">
            <w:pPr>
              <w:jc w:val="center"/>
              <w:rPr>
                <w:rFonts w:cs="Times New Roman"/>
                <w:color w:val="000000" w:themeColor="text1"/>
                <w:szCs w:val="20"/>
              </w:rPr>
            </w:pPr>
            <w:r>
              <w:rPr>
                <w:rFonts w:cs="Times New Roman"/>
                <w:color w:val="000000"/>
                <w:sz w:val="22"/>
              </w:rPr>
              <w:t>Deven Wagh</w:t>
            </w:r>
          </w:p>
          <w:p w14:paraId="062162F1" w14:textId="77777777" w:rsidR="00F72D9E" w:rsidRPr="00C253C8" w:rsidRDefault="00000000">
            <w:pPr>
              <w:jc w:val="center"/>
              <w:rPr>
                <w:rFonts w:cs="Times New Roman"/>
                <w:color w:val="000000" w:themeColor="text1"/>
                <w:szCs w:val="20"/>
              </w:rPr>
            </w:pPr>
            <w:r w:rsidRPr="00C253C8">
              <w:rPr>
                <w:rFonts w:cs="Times New Roman"/>
                <w:i/>
                <w:color w:val="000000"/>
                <w:szCs w:val="20"/>
              </w:rPr>
              <w:t>Department of Computer Applications</w:t>
            </w:r>
            <w:r w:rsidRPr="00C253C8">
              <w:rPr>
                <w:rFonts w:cs="Times New Roman"/>
                <w:i/>
                <w:color w:val="000000"/>
                <w:szCs w:val="20"/>
              </w:rPr>
              <w:br/>
              <w:t>Pillai HOC College of Engineering and Technology</w:t>
            </w:r>
            <w:r w:rsidRPr="00C253C8">
              <w:rPr>
                <w:rFonts w:cs="Times New Roman"/>
                <w:i/>
                <w:color w:val="000000"/>
                <w:szCs w:val="20"/>
              </w:rPr>
              <w:br/>
              <w:t>Rasayani, India</w:t>
            </w:r>
            <w:r w:rsidRPr="00C253C8">
              <w:rPr>
                <w:rFonts w:cs="Times New Roman"/>
                <w:i/>
                <w:color w:val="000000"/>
                <w:szCs w:val="20"/>
              </w:rPr>
              <w:br/>
              <w:t>deveniw25hmca@student.mes.ac.in</w:t>
            </w:r>
          </w:p>
        </w:tc>
        <w:tc>
          <w:tcPr>
            <w:tcW w:w="2333" w:type="dxa"/>
            <w:tcBorders>
              <w:top w:val="nil"/>
              <w:left w:val="nil"/>
              <w:bottom w:val="nil"/>
              <w:right w:val="nil"/>
            </w:tcBorders>
          </w:tcPr>
          <w:p w14:paraId="49DD5D04" w14:textId="77777777" w:rsidR="00F72D9E" w:rsidRPr="00C253C8" w:rsidRDefault="00000000">
            <w:pPr>
              <w:jc w:val="center"/>
              <w:rPr>
                <w:rFonts w:cs="Times New Roman"/>
                <w:color w:val="000000" w:themeColor="text1"/>
                <w:szCs w:val="20"/>
              </w:rPr>
            </w:pPr>
            <w:r>
              <w:rPr>
                <w:rFonts w:cs="Times New Roman"/>
                <w:color w:val="000000"/>
                <w:sz w:val="22"/>
              </w:rPr>
              <w:t>Kalpit Mhatre</w:t>
            </w:r>
          </w:p>
          <w:p w14:paraId="4C463566" w14:textId="77777777" w:rsidR="00F72D9E" w:rsidRPr="00C253C8" w:rsidRDefault="00000000">
            <w:pPr>
              <w:jc w:val="center"/>
              <w:rPr>
                <w:rFonts w:cs="Times New Roman"/>
                <w:color w:val="000000" w:themeColor="text1"/>
                <w:szCs w:val="20"/>
              </w:rPr>
            </w:pPr>
            <w:r w:rsidRPr="00C253C8">
              <w:rPr>
                <w:rFonts w:cs="Times New Roman"/>
                <w:i/>
                <w:color w:val="000000"/>
                <w:szCs w:val="20"/>
              </w:rPr>
              <w:t>Department of Computer Applications</w:t>
            </w:r>
            <w:r w:rsidRPr="00C253C8">
              <w:rPr>
                <w:rFonts w:cs="Times New Roman"/>
                <w:i/>
                <w:color w:val="000000"/>
                <w:szCs w:val="20"/>
              </w:rPr>
              <w:br/>
              <w:t>Pillai HOC College of Engineering and Technology</w:t>
            </w:r>
            <w:r w:rsidRPr="00C253C8">
              <w:rPr>
                <w:rFonts w:cs="Times New Roman"/>
                <w:i/>
                <w:color w:val="000000"/>
                <w:szCs w:val="20"/>
              </w:rPr>
              <w:br/>
              <w:t>Rasayani, India</w:t>
            </w:r>
            <w:r w:rsidRPr="00C253C8">
              <w:rPr>
                <w:rFonts w:cs="Times New Roman"/>
                <w:i/>
                <w:color w:val="000000"/>
                <w:szCs w:val="20"/>
              </w:rPr>
              <w:br/>
              <w:t>kalpitam25hmca@student.mes.ac.in</w:t>
            </w:r>
          </w:p>
        </w:tc>
        <w:tc>
          <w:tcPr>
            <w:tcW w:w="2333" w:type="dxa"/>
            <w:tcBorders>
              <w:top w:val="nil"/>
              <w:left w:val="nil"/>
              <w:bottom w:val="nil"/>
              <w:right w:val="nil"/>
            </w:tcBorders>
          </w:tcPr>
          <w:p w14:paraId="3C7B66D1" w14:textId="77777777" w:rsidR="00F72D9E" w:rsidRPr="00C253C8" w:rsidRDefault="00000000">
            <w:pPr>
              <w:jc w:val="center"/>
              <w:rPr>
                <w:rFonts w:cs="Times New Roman"/>
                <w:color w:val="000000" w:themeColor="text1"/>
                <w:szCs w:val="20"/>
              </w:rPr>
            </w:pPr>
            <w:r>
              <w:rPr>
                <w:rFonts w:cs="Times New Roman"/>
                <w:color w:val="000000"/>
                <w:sz w:val="22"/>
              </w:rPr>
              <w:t>Rohit Zagade</w:t>
            </w:r>
          </w:p>
          <w:p w14:paraId="652434D1" w14:textId="77777777" w:rsidR="00F72D9E" w:rsidRPr="00C253C8" w:rsidRDefault="00000000">
            <w:pPr>
              <w:jc w:val="center"/>
              <w:rPr>
                <w:rFonts w:cs="Times New Roman"/>
                <w:color w:val="000000" w:themeColor="text1"/>
                <w:szCs w:val="20"/>
              </w:rPr>
            </w:pPr>
            <w:r w:rsidRPr="00C253C8">
              <w:rPr>
                <w:rFonts w:cs="Times New Roman"/>
                <w:i/>
                <w:color w:val="000000"/>
                <w:szCs w:val="20"/>
              </w:rPr>
              <w:t>Department of Computer Applications</w:t>
            </w:r>
            <w:r w:rsidRPr="00C253C8">
              <w:rPr>
                <w:rFonts w:cs="Times New Roman"/>
                <w:i/>
                <w:color w:val="000000"/>
                <w:szCs w:val="20"/>
              </w:rPr>
              <w:br/>
              <w:t>Pillai HOC College of Engineering and Technology</w:t>
            </w:r>
            <w:r w:rsidRPr="00C253C8">
              <w:rPr>
                <w:rFonts w:cs="Times New Roman"/>
                <w:i/>
                <w:color w:val="000000"/>
                <w:szCs w:val="20"/>
              </w:rPr>
              <w:br/>
              <w:t>Rasayani, India</w:t>
            </w:r>
            <w:r w:rsidRPr="00C253C8">
              <w:rPr>
                <w:rFonts w:cs="Times New Roman"/>
                <w:i/>
                <w:color w:val="000000"/>
                <w:szCs w:val="20"/>
              </w:rPr>
              <w:br/>
              <w:t>rohitrz25hmca@student.mes.ac.in</w:t>
            </w:r>
          </w:p>
        </w:tc>
        <w:tc>
          <w:tcPr>
            <w:tcW w:w="2333" w:type="dxa"/>
            <w:tcBorders>
              <w:top w:val="nil"/>
              <w:left w:val="nil"/>
              <w:bottom w:val="nil"/>
              <w:right w:val="nil"/>
            </w:tcBorders>
          </w:tcPr>
          <w:p w14:paraId="390B2E69" w14:textId="14C2DAA9" w:rsidR="00F72D9E" w:rsidRPr="00C253C8" w:rsidRDefault="00B35227">
            <w:pPr>
              <w:jc w:val="center"/>
              <w:rPr>
                <w:rFonts w:cs="Times New Roman"/>
                <w:color w:val="000000" w:themeColor="text1"/>
                <w:szCs w:val="20"/>
              </w:rPr>
            </w:pPr>
            <w:r>
              <w:rPr>
                <w:rFonts w:cs="Times New Roman"/>
                <w:color w:val="000000"/>
                <w:sz w:val="22"/>
              </w:rPr>
              <w:t>Dr</w:t>
            </w:r>
            <w:r w:rsidR="00000000">
              <w:rPr>
                <w:rFonts w:cs="Times New Roman"/>
                <w:color w:val="000000"/>
                <w:sz w:val="22"/>
              </w:rPr>
              <w:t>. Abhijeet More</w:t>
            </w:r>
          </w:p>
          <w:p w14:paraId="7D004EFA" w14:textId="4F2DF833" w:rsidR="00F72D9E" w:rsidRPr="00C253C8" w:rsidRDefault="00000000">
            <w:pPr>
              <w:jc w:val="center"/>
              <w:rPr>
                <w:rFonts w:cs="Times New Roman"/>
                <w:color w:val="000000" w:themeColor="text1"/>
                <w:szCs w:val="20"/>
              </w:rPr>
            </w:pPr>
            <w:r w:rsidRPr="00C253C8">
              <w:rPr>
                <w:rFonts w:cs="Times New Roman"/>
                <w:i/>
                <w:color w:val="000000"/>
                <w:szCs w:val="20"/>
              </w:rPr>
              <w:t>Department of Computer Application</w:t>
            </w:r>
            <w:r w:rsidR="00EC7F6A">
              <w:rPr>
                <w:rFonts w:cs="Times New Roman"/>
                <w:i/>
                <w:color w:val="000000"/>
                <w:szCs w:val="20"/>
              </w:rPr>
              <w:t>s</w:t>
            </w:r>
            <w:r w:rsidRPr="00C253C8">
              <w:rPr>
                <w:rFonts w:cs="Times New Roman"/>
                <w:i/>
                <w:color w:val="000000"/>
                <w:szCs w:val="20"/>
              </w:rPr>
              <w:br/>
              <w:t>Pillai HOC College of Engineering and Technology</w:t>
            </w:r>
            <w:r w:rsidRPr="00C253C8">
              <w:rPr>
                <w:rFonts w:cs="Times New Roman"/>
                <w:i/>
                <w:color w:val="000000"/>
                <w:szCs w:val="20"/>
              </w:rPr>
              <w:br/>
              <w:t>Rasayani, India</w:t>
            </w:r>
            <w:r w:rsidRPr="00C253C8">
              <w:rPr>
                <w:rFonts w:cs="Times New Roman"/>
                <w:i/>
                <w:color w:val="000000"/>
                <w:szCs w:val="20"/>
              </w:rPr>
              <w:br/>
              <w:t>mabhijeet@mes.ac.in</w:t>
            </w:r>
          </w:p>
        </w:tc>
      </w:tr>
    </w:tbl>
    <w:p w14:paraId="0B2DCD83" w14:textId="77777777" w:rsidR="00DE0402" w:rsidRDefault="00DE0402"/>
    <w:p w14:paraId="7731DF5F" w14:textId="77777777" w:rsidR="00D30060" w:rsidRDefault="00D30060" w:rsidP="00C253C8">
      <w:pPr>
        <w:pStyle w:val="Heading1"/>
        <w:jc w:val="both"/>
        <w:rPr>
          <w:rFonts w:ascii="Times New Roman" w:hAnsi="Times New Roman" w:cs="Times New Roman"/>
          <w:color w:val="000000" w:themeColor="text1"/>
          <w:szCs w:val="20"/>
          <w:lang w:val="en-IN"/>
        </w:rPr>
      </w:pPr>
    </w:p>
    <w:p w14:paraId="4F5335F9" w14:textId="77777777" w:rsidR="00287F90" w:rsidRPr="00EC7F6A" w:rsidRDefault="00287F90" w:rsidP="00C253C8">
      <w:pPr>
        <w:spacing w:after="160"/>
        <w:jc w:val="both"/>
        <w:rPr>
          <w:iCs/>
          <w:szCs w:val="20"/>
        </w:rPr>
      </w:pPr>
      <w:r w:rsidRPr="00EC7F6A">
        <w:rPr>
          <w:rFonts w:cs="Times New Roman"/>
          <w:b/>
          <w:bCs/>
          <w:iCs/>
          <w:color w:val="000000"/>
          <w:szCs w:val="20"/>
        </w:rPr>
        <w:t>Abstract:</w:t>
      </w:r>
      <w:r w:rsidRPr="00EC7F6A">
        <w:rPr>
          <w:rFonts w:cs="Times New Roman"/>
          <w:iCs/>
          <w:color w:val="000000"/>
          <w:szCs w:val="20"/>
        </w:rPr>
        <w:t xml:space="preserve"> BlockVote is a secure, transparent digital voting platform that modernizes elections using blockchain technology, cloud computing, and biometric security. Traditional paper ballots and electronic voting methods suffer from centralized manipulation, vote tampering, slow result processing, identity fraud, and human error, all of which reduce voter confidence and weaken democratic processes. BlockVote counters these problems by recording each cast ballot as a permanent, unalterable record on a decentralized blockchain which cannot be modified, duplicated, or erased, ensuring election integrity and public trust. Voters interact with the system through a native Android application built with Jetpack Compose and a web-based desktop portal, which provides a simple and familiar interface on any device. To prevent fraud, the system uses facial biometric authentication through AWS Rekognition. Before receiving a ballot, each voter completes a live facial scan which verifies the identity against records and prevents those from casting multiple votes under different accounts. The Android client further strengthens the check with CameraX, Google ML Kit multi-face detection, and a sensor-driven liveness scan that rejects static photos and played videos. BlockVote removes technical hurdles usually associated with blockchain systems. Voters don't need a cryptocurrency wallet, private keys, or transaction fees. They can authenticate with an email one-time password while a gasless relayer and AWS cloud infrastructure handle background operations. Voter privacy is strictly protected, identity details are separated from voting choices using a salted one-way hash, so selections remain confidential while voters and officials can independently verify through a public audit route that every vote was recorded and counted. Decentralized storage protects election parameters and candidate details from unauthorized changes. By using blockchain security, AWS, facial biometrics, zero cost for voters, and privacy protection, BlockVote offers a reliable e-voting solution for university student councils, corporate boards, cooperative societies, and large organizational elections.</w:t>
      </w:r>
    </w:p>
    <w:p w14:paraId="464A720A" w14:textId="77777777" w:rsidR="00F72D9E" w:rsidRPr="00D30060" w:rsidRDefault="00287F90" w:rsidP="00D30060">
      <w:pPr>
        <w:ind w:firstLine="288"/>
        <w:jc w:val="both"/>
        <w:sectPr w:rsidR="00F72D9E" w:rsidRPr="00D30060">
          <w:footerReference w:type="default" r:id="rId8"/>
          <w:pgSz w:w="12240" w:h="15840"/>
          <w:pgMar w:top="1080" w:right="900" w:bottom="1440" w:left="900" w:header="360" w:footer="360" w:gutter="0"/>
          <w:cols w:space="288"/>
          <w:docGrid w:linePitch="360"/>
        </w:sectPr>
      </w:pPr>
      <w:r>
        <w:rPr>
          <w:rFonts w:cs="Times New Roman"/>
          <w:color w:val="000000"/>
        </w:rPr>
        <w:t>Keywords: blockchain e-voting, gasless relayer, coercion resistance, biometric liveness, UUPS proxy, multi-signature governance, Keccak-256 nullifier, Ethereum Sepolia</w:t>
      </w:r>
    </w:p>
    <w:p w14:paraId="3105C8A5" w14:textId="77777777" w:rsidR="00F72D9E" w:rsidRPr="00C253C8" w:rsidRDefault="00000000">
      <w:pPr>
        <w:spacing w:before="200" w:after="80"/>
        <w:jc w:val="center"/>
      </w:pPr>
      <w:r w:rsidRPr="00C253C8">
        <w:rPr>
          <w:rFonts w:cs="Times New Roman"/>
          <w:b/>
          <w:color w:val="000000"/>
          <w:szCs w:val="20"/>
        </w:rPr>
        <w:t>I. INTRODUCTION</w:t>
      </w:r>
    </w:p>
    <w:p w14:paraId="45EF21B5" w14:textId="77777777" w:rsidR="00287F90" w:rsidRPr="00D30060" w:rsidRDefault="00287F90" w:rsidP="00D30060">
      <w:pPr>
        <w:ind w:firstLine="288"/>
        <w:jc w:val="both"/>
      </w:pPr>
      <w:r w:rsidRPr="00D30060">
        <w:rPr>
          <w:rFonts w:cs="Times New Roman"/>
          <w:color w:val="000000"/>
          <w:szCs w:val="20"/>
          <w:lang w:val="en-IN"/>
        </w:rPr>
        <w:t>An electronic voting system has to get several things right. It should accept only eligible voters and prevent duplicate participation, keep the ballot private, produce a verifiable tally, and be simple enough for ordinary users. Centralized web applications normally provide a familiar interface and fast responses, but put the election database and administrative controls in the hands of a few. Blockchain changes this trust model by replicating the state and executing election rules through smart contracts. The trade-off is that voters may be expected to understand wallets, private keys, and gas fees.</w:t>
      </w:r>
    </w:p>
    <w:p w14:paraId="01ECE656" w14:textId="77777777" w:rsidR="00287F90" w:rsidRPr="00D30060" w:rsidRDefault="00287F90" w:rsidP="00D30060">
      <w:pPr>
        <w:ind w:firstLine="288"/>
        <w:jc w:val="both"/>
      </w:pPr>
      <w:r w:rsidRPr="00D30060">
        <w:rPr>
          <w:rFonts w:cs="Times New Roman"/>
          <w:color w:val="000000"/>
          <w:szCs w:val="20"/>
          <w:lang w:val="en-IN"/>
        </w:rPr>
        <w:t xml:space="preserve">Beyond the functional requirements, an e-voting platform has to have the confidence of people who may not see its source code. A tally that can be independently verified by voters, </w:t>
      </w:r>
      <w:r w:rsidRPr="00D30060">
        <w:rPr>
          <w:rFonts w:cs="Times New Roman"/>
          <w:color w:val="000000"/>
          <w:szCs w:val="20"/>
          <w:lang w:val="en-IN"/>
        </w:rPr>
        <w:t>election officials, and outside observers is what separates a genuine auditable system from one that asks to be trusted. This observation motivates the design decisions in the rest of this paper.</w:t>
      </w:r>
    </w:p>
    <w:p w14:paraId="784D32F4" w14:textId="77777777" w:rsidR="00F72D9E" w:rsidRPr="00D30060" w:rsidRDefault="00287F90" w:rsidP="00D30060">
      <w:pPr>
        <w:ind w:firstLine="288"/>
        <w:jc w:val="both"/>
      </w:pPr>
      <w:r w:rsidRPr="00D30060">
        <w:rPr>
          <w:rFonts w:cs="Times New Roman"/>
          <w:color w:val="000000"/>
          <w:szCs w:val="20"/>
          <w:lang w:val="en-IN"/>
        </w:rPr>
        <w:t>Several blockchain voting systems have been proposed in recent years, and follow one of a few common patterns. Some store voter records and ballot data on a distributed ledger and use smart contracts to enforce the election rules. Others move voter metadata off the chain and just a hash on the ledger to reduce storage cost. Authentication is usually handled through email, one-time passwords, biometric checks, or a government identity service. A recurring problem in this work is that voters are expected to interact with the system through a cryptocurrency wallet, which presents a barrier for users who don’t hold tokens or understand private keys</w:t>
      </w:r>
      <w:r w:rsidRPr="00D30060">
        <w:rPr>
          <w:rFonts w:cs="Times New Roman"/>
          <w:color w:val="000000"/>
          <w:szCs w:val="20"/>
        </w:rPr>
        <w:t xml:space="preserve"> [1], [3], [4].</w:t>
      </w:r>
    </w:p>
    <w:p w14:paraId="44A89FF2" w14:textId="77777777" w:rsidR="00287F90" w:rsidRPr="00D30060" w:rsidRDefault="00287F90" w:rsidP="00D30060">
      <w:pPr>
        <w:ind w:firstLine="288"/>
        <w:jc w:val="both"/>
      </w:pPr>
      <w:r w:rsidRPr="00D30060">
        <w:rPr>
          <w:rFonts w:cs="Times New Roman"/>
          <w:color w:val="000000"/>
          <w:szCs w:val="20"/>
          <w:lang w:val="en-IN"/>
        </w:rPr>
        <w:lastRenderedPageBreak/>
        <w:t>The aim of BlockVote is not to solve every problem in internet voting. Instead focuses on the practical combination of features that are often treated separately: a voter should be able to use the system without buying cryptocurrency, the public ledger shouldn't contain a plain voter identifier, a later vote should be possible during the election, and no single administrator should be able to replace the contract logic alone. The main contributions are:</w:t>
      </w:r>
    </w:p>
    <w:p w14:paraId="140CE7A6" w14:textId="77777777" w:rsidR="00287F90" w:rsidRPr="00D30060" w:rsidRDefault="00287F90" w:rsidP="00D30060">
      <w:pPr>
        <w:ind w:firstLine="288"/>
        <w:jc w:val="both"/>
      </w:pPr>
      <w:r w:rsidRPr="00D30060">
        <w:rPr>
          <w:rFonts w:cs="Times New Roman"/>
          <w:color w:val="000000"/>
          <w:szCs w:val="20"/>
          <w:lang w:val="en-IN"/>
        </w:rPr>
        <w:t>A gasless relayer with a serialized nonce queue, so that voters don't need to own a wallet or purchase network tokens.</w:t>
      </w:r>
    </w:p>
    <w:p w14:paraId="44843A06" w14:textId="61C5E336" w:rsidR="00287F90" w:rsidRPr="00D30060" w:rsidRDefault="00287F90" w:rsidP="00DA3DBA">
      <w:pPr>
        <w:ind w:firstLine="288"/>
        <w:jc w:val="both"/>
      </w:pPr>
      <w:r w:rsidRPr="00D30060">
        <w:rPr>
          <w:rFonts w:cs="Times New Roman"/>
          <w:color w:val="000000"/>
          <w:szCs w:val="20"/>
          <w:lang w:val="en-IN"/>
        </w:rPr>
        <w:t>A salted Keccak-256 nullifier for per-election uniqueness without placing an email address or another plaintext identifier on the ledger.</w:t>
      </w:r>
      <w:r w:rsidR="00DA3DBA">
        <w:t xml:space="preserve"> </w:t>
      </w:r>
      <w:r w:rsidRPr="00D30060">
        <w:rPr>
          <w:rFonts w:cs="Times New Roman"/>
          <w:color w:val="000000"/>
          <w:szCs w:val="20"/>
          <w:lang w:val="en-IN"/>
        </w:rPr>
        <w:t>A liveness workflow that combines Android motion sensing, single-face detection, and server-side face checks.</w:t>
      </w:r>
      <w:r w:rsidR="00DA3DBA">
        <w:t xml:space="preserve"> </w:t>
      </w:r>
      <w:r w:rsidRPr="00D30060">
        <w:rPr>
          <w:rFonts w:cs="Times New Roman"/>
          <w:color w:val="000000"/>
          <w:szCs w:val="20"/>
          <w:lang w:val="en-IN"/>
        </w:rPr>
        <w:t>A blinded ballot event and re-voting procedure intended to make a simple vote receipt less useful to a coercer.</w:t>
      </w:r>
    </w:p>
    <w:p w14:paraId="1FB2D937" w14:textId="77777777" w:rsidR="00F72D9E" w:rsidRPr="00D30060" w:rsidRDefault="00287F90" w:rsidP="00D30060">
      <w:pPr>
        <w:ind w:firstLine="288"/>
        <w:jc w:val="both"/>
      </w:pPr>
      <w:r w:rsidRPr="00D30060">
        <w:rPr>
          <w:rFonts w:cs="Times New Roman"/>
          <w:color w:val="000000"/>
          <w:szCs w:val="20"/>
          <w:lang w:val="en-IN"/>
        </w:rPr>
        <w:t>A UUPS upgrade process that requires approval from two of three guardians instead of a single administrator key.</w:t>
      </w:r>
    </w:p>
    <w:p w14:paraId="2B43CF13" w14:textId="77777777" w:rsidR="00F72D9E" w:rsidRPr="00C253C8" w:rsidRDefault="00000000">
      <w:pPr>
        <w:spacing w:before="200" w:after="80"/>
        <w:jc w:val="center"/>
      </w:pPr>
      <w:r w:rsidRPr="00C253C8">
        <w:rPr>
          <w:rFonts w:cs="Times New Roman"/>
          <w:b/>
          <w:color w:val="000000"/>
          <w:szCs w:val="20"/>
        </w:rPr>
        <w:t>II. LITERATURE SURVEY</w:t>
      </w:r>
    </w:p>
    <w:p w14:paraId="636BD94D" w14:textId="77777777" w:rsidR="00F72D9E" w:rsidRPr="00C253C8" w:rsidRDefault="00287F90" w:rsidP="00D30060">
      <w:pPr>
        <w:ind w:firstLine="288"/>
        <w:jc w:val="both"/>
      </w:pPr>
      <w:r w:rsidRPr="00C253C8">
        <w:rPr>
          <w:rFonts w:cs="Times New Roman"/>
          <w:bCs/>
          <w:color w:val="000000"/>
          <w:szCs w:val="20"/>
          <w:lang w:val="en-IN"/>
        </w:rPr>
        <w:t>Most existing blockchain voting systems can be grouped into a few categories. Centralized web portals offer a familiar interface and low latency, but depend on a few servers and database administrators, which is a single point of failure [1], [3], [8]. Wallet-based decentralized applications use smart contracts to enforce the election rules but require voters to install a browser extension, manage a private key, and pay a network fee for every transaction. A third group attempts to improve privacy with cryptographic techniques such as secret sharing, differential privacy, or zero-knowledge proofs. These approaches are promising but add noticeable complexity and cost and some trade exact tally accuracy for privacy</w:t>
      </w:r>
      <w:r w:rsidRPr="00C253C8">
        <w:rPr>
          <w:rFonts w:cs="Times New Roman"/>
          <w:color w:val="000000"/>
          <w:szCs w:val="20"/>
        </w:rPr>
        <w:t>.</w:t>
      </w:r>
    </w:p>
    <w:p w14:paraId="3B7C512A" w14:textId="77777777" w:rsidR="00287F90" w:rsidRPr="00D30060" w:rsidRDefault="00287F90" w:rsidP="00D30060">
      <w:pPr>
        <w:ind w:firstLine="288"/>
        <w:jc w:val="both"/>
      </w:pPr>
      <w:r w:rsidRPr="00D30060">
        <w:rPr>
          <w:rFonts w:cs="Times New Roman"/>
          <w:color w:val="000000"/>
          <w:szCs w:val="20"/>
          <w:lang w:val="en-IN"/>
        </w:rPr>
        <w:t>Upgradeable contracts are another common theme. Once a smart contract is deployed, its logic is normally fixed, making it difficult to fix bugs or add features after an election begins. Some systems address this by using a proxy pattern, where the contract state stays in place while the implementation can be replaced. Useful, but a governance problem. If a single administrator controls the proxy, one compromised key can change the entire election logic. BlockVote uses the same upgradeable design but places the upgrade operation behind a 2-of-3 guardian approval rule so that no single key is sufficient [2].</w:t>
      </w:r>
    </w:p>
    <w:p w14:paraId="2B428B34" w14:textId="77777777" w:rsidR="00287F90" w:rsidRPr="00D30060" w:rsidRDefault="00287F90" w:rsidP="00D30060">
      <w:pPr>
        <w:ind w:firstLine="288"/>
        <w:jc w:val="both"/>
      </w:pPr>
      <w:r w:rsidRPr="00D30060">
        <w:rPr>
          <w:rFonts w:cs="Times New Roman"/>
          <w:color w:val="000000"/>
          <w:szCs w:val="20"/>
          <w:lang w:val="en-IN"/>
        </w:rPr>
        <w:t>A related question is what happens after an election contract is deployed. Real election software is rarely perfect on the first release, so the ability to fix bugs or add features matters in practice. Upgradeable contract patterns answer this need but concentrate a great deal of power in whoever controls the upgrade path. An upgrade mechanism without a governance rule is therefore only half a solution.</w:t>
      </w:r>
    </w:p>
    <w:p w14:paraId="32E326A7" w14:textId="77777777" w:rsidR="00287F90" w:rsidRPr="00D30060" w:rsidRDefault="00287F90" w:rsidP="00D30060">
      <w:pPr>
        <w:ind w:firstLine="288"/>
        <w:jc w:val="both"/>
      </w:pPr>
      <w:r w:rsidRPr="00D30060">
        <w:rPr>
          <w:rFonts w:cs="Times New Roman"/>
          <w:color w:val="000000"/>
          <w:szCs w:val="20"/>
          <w:lang w:val="en-IN"/>
        </w:rPr>
        <w:t xml:space="preserve">Privacy is the hardest problem. A public ledger is transparent by design, so a ballot that is linked to a wallet address can reveal how a person voted. Some systems attempt to hide the choice by splitting it into shares or adding statistical noise to the tally, but these methods either increase cost or produce an approximate result [5], [6]. BlockVote keeps the tally exact and instead hides the link between the voter and the ballot. The voter </w:t>
      </w:r>
      <w:r w:rsidRPr="00D30060">
        <w:rPr>
          <w:rFonts w:cs="Times New Roman"/>
          <w:color w:val="000000"/>
          <w:szCs w:val="20"/>
          <w:lang w:val="en-IN"/>
        </w:rPr>
        <w:t>is represented by a salted hash, the ballot event does not include the candidate identifier, and a later vote can replace an earlier one during the election window.</w:t>
      </w:r>
    </w:p>
    <w:p w14:paraId="4F4EA990" w14:textId="77777777" w:rsidR="00287F90" w:rsidRPr="00D30060" w:rsidRDefault="00287F90" w:rsidP="00D30060">
      <w:pPr>
        <w:ind w:firstLine="288"/>
        <w:jc w:val="both"/>
      </w:pPr>
      <w:r w:rsidRPr="00D30060">
        <w:rPr>
          <w:rFonts w:cs="Times New Roman"/>
          <w:color w:val="000000"/>
          <w:szCs w:val="20"/>
          <w:lang w:val="en-IN"/>
        </w:rPr>
        <w:t>Another recurring issue is voter coercion. A receipt that proves how a person voted is useful to the voter but also to whoever pressured that person. Systems that publish linkable receipts make vote buying easier rather than harder. Any design that keeps an exact tally on a public ledger has to explain how to avoid turning the ledger into a coercion tool.</w:t>
      </w:r>
    </w:p>
    <w:p w14:paraId="17CBCB70" w14:textId="77777777" w:rsidR="00287F90" w:rsidRPr="00D30060" w:rsidRDefault="00287F90" w:rsidP="00D30060">
      <w:pPr>
        <w:ind w:firstLine="288"/>
        <w:jc w:val="both"/>
      </w:pPr>
      <w:r w:rsidRPr="00D30060">
        <w:rPr>
          <w:rFonts w:cs="Times New Roman"/>
          <w:color w:val="000000"/>
          <w:szCs w:val="20"/>
          <w:lang w:val="en-IN"/>
        </w:rPr>
        <w:t>Distributed storage is widely used in this area to keep large files, such as voter metadata and candidate information, off the ledger. Biometric and facial authentication also appear in several systems as a way to confirm that a real person is voting. BlockVote combines these ideas with gas sponsorship, salted nullifiers, blinded re-voting, and threshold-controlled contract upgrades. The contribution is therefore the integration of these features into one working prototype rather than a single new cryptographic primitive [7], [9], [10].</w:t>
      </w:r>
    </w:p>
    <w:p w14:paraId="00483E2A" w14:textId="77777777" w:rsidR="00AB6702" w:rsidRPr="00D30060" w:rsidRDefault="00287F90" w:rsidP="00D30060">
      <w:pPr>
        <w:ind w:firstLine="288"/>
        <w:jc w:val="both"/>
      </w:pPr>
      <w:r w:rsidRPr="00D30060">
        <w:rPr>
          <w:rFonts w:cs="Times New Roman"/>
          <w:color w:val="000000"/>
          <w:szCs w:val="20"/>
          <w:lang w:val="en-IN"/>
        </w:rPr>
        <w:t>Finally, the practical lessons from deployed prototypes matter as much as the cryptographic ideas behind them. Small usability details decide whether a technically sound system is used at all. BlockVote was built with this lesson in mind.</w:t>
      </w:r>
    </w:p>
    <w:p w14:paraId="6E8586C1" w14:textId="77777777" w:rsidR="00F72D9E" w:rsidRPr="00C253C8" w:rsidRDefault="00000000">
      <w:pPr>
        <w:spacing w:before="200" w:after="80"/>
        <w:jc w:val="center"/>
      </w:pPr>
      <w:r w:rsidRPr="00C253C8">
        <w:rPr>
          <w:rFonts w:cs="Times New Roman"/>
          <w:b/>
          <w:color w:val="000000"/>
          <w:szCs w:val="20"/>
        </w:rPr>
        <w:t>III. METHODOLOGY</w:t>
      </w:r>
    </w:p>
    <w:p w14:paraId="138F8E7B" w14:textId="77777777" w:rsidR="00AB6702" w:rsidRPr="00C253C8" w:rsidRDefault="00287F90">
      <w:pPr>
        <w:ind w:firstLine="288"/>
        <w:jc w:val="both"/>
      </w:pPr>
      <w:r w:rsidRPr="00C253C8">
        <w:rPr>
          <w:rFonts w:cs="Times New Roman"/>
          <w:bCs/>
          <w:color w:val="000000"/>
          <w:szCs w:val="20"/>
          <w:lang w:val="en-IN"/>
        </w:rPr>
        <w:t xml:space="preserve">BlockVote is a hybrid system. The Android application and desktop portal handle the voter interaction. A Next.js backend performs OTP and biometric checks, prepares authenticated relay requests, and exposes the audit route. A server-side relayer sends the transaction to VotingV3.sol on an EVM-compatible network. MongoDB Atlas stores operational records, Pinata IPFS stores election and candidate metadata snapshots, and AWS S3 stores candidate images and party symbols. The main components and their connections are shown in Fig. 1. The rest of this section describes each stage of the workflow in the order a real election would use it: registration, </w:t>
      </w:r>
      <w:r w:rsidRPr="00C253C8">
        <w:rPr>
          <w:rFonts w:cs="Times New Roman"/>
          <w:color w:val="000000"/>
          <w:szCs w:val="20"/>
        </w:rPr>
        <w:t>authentication, ballot preparation, transaction relay, contract execution, and result verification.</w:t>
      </w:r>
    </w:p>
    <w:p w14:paraId="0559C9FF" w14:textId="297D584E" w:rsidR="00F72D9E" w:rsidRPr="00C253C8" w:rsidRDefault="00DA3DBA">
      <w:pPr>
        <w:spacing w:before="60" w:after="20"/>
        <w:jc w:val="both"/>
        <w:rPr>
          <w:rFonts w:cs="Times New Roman"/>
          <w:color w:val="000000" w:themeColor="text1"/>
          <w:szCs w:val="20"/>
        </w:rPr>
      </w:pPr>
      <w:r>
        <w:rPr>
          <w:rFonts w:cs="Times New Roman"/>
          <w:noProof/>
          <w:color w:val="000000" w:themeColor="text1"/>
          <w:szCs w:val="20"/>
        </w:rPr>
        <w:drawing>
          <wp:inline distT="0" distB="0" distL="0" distR="0" wp14:anchorId="48B18000" wp14:editId="0FE86D03">
            <wp:extent cx="3223260" cy="2545080"/>
            <wp:effectExtent l="0" t="0" r="0" b="7620"/>
            <wp:docPr id="111235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55567" name="Picture 1112355567"/>
                    <pic:cNvPicPr/>
                  </pic:nvPicPr>
                  <pic:blipFill rotWithShape="1">
                    <a:blip r:embed="rId9">
                      <a:extLst>
                        <a:ext uri="{BEBA8EAE-BF5A-486C-A8C5-ECC9F3942E4B}">
                          <a14:imgProps xmlns:a14="http://schemas.microsoft.com/office/drawing/2010/main">
                            <a14:imgLayer r:embed="rId10">
                              <a14:imgEffect>
                                <a14:sharpenSoften amount="25000"/>
                              </a14:imgEffect>
                            </a14:imgLayer>
                          </a14:imgProps>
                        </a:ext>
                      </a:extLst>
                    </a:blip>
                    <a:srcRect t="4769" b="11400"/>
                    <a:stretch>
                      <a:fillRect/>
                    </a:stretch>
                  </pic:blipFill>
                  <pic:spPr bwMode="auto">
                    <a:xfrm>
                      <a:off x="0" y="0"/>
                      <a:ext cx="3223260" cy="2545080"/>
                    </a:xfrm>
                    <a:prstGeom prst="rect">
                      <a:avLst/>
                    </a:prstGeom>
                    <a:ln>
                      <a:noFill/>
                    </a:ln>
                    <a:extLst>
                      <a:ext uri="{53640926-AAD7-44D8-BBD7-CCE9431645EC}">
                        <a14:shadowObscured xmlns:a14="http://schemas.microsoft.com/office/drawing/2010/main"/>
                      </a:ext>
                    </a:extLst>
                  </pic:spPr>
                </pic:pic>
              </a:graphicData>
            </a:graphic>
          </wp:inline>
        </w:drawing>
      </w:r>
    </w:p>
    <w:p w14:paraId="60A6EFC9" w14:textId="77777777" w:rsidR="00F72D9E" w:rsidRPr="00C253C8" w:rsidRDefault="00000000">
      <w:pPr>
        <w:spacing w:before="120" w:after="120"/>
        <w:jc w:val="center"/>
      </w:pPr>
      <w:r w:rsidRPr="00C253C8">
        <w:rPr>
          <w:rFonts w:cs="Times New Roman"/>
          <w:color w:val="000000"/>
          <w:sz w:val="16"/>
          <w:szCs w:val="20"/>
        </w:rPr>
        <w:t>Fig 1. Architectural blueprint of the BlockVote hybrid decentralized e-voting system.</w:t>
      </w:r>
    </w:p>
    <w:p w14:paraId="7F49DC0A" w14:textId="77777777" w:rsidR="00F72D9E" w:rsidRPr="00C253C8" w:rsidRDefault="00000000">
      <w:pPr>
        <w:spacing w:before="160" w:after="80"/>
      </w:pPr>
      <w:r w:rsidRPr="00C253C8">
        <w:rPr>
          <w:rFonts w:cs="Times New Roman"/>
          <w:b/>
          <w:i/>
          <w:color w:val="000000"/>
          <w:szCs w:val="20"/>
        </w:rPr>
        <w:lastRenderedPageBreak/>
        <w:t>A. SYSTEM ARCHITECTURE</w:t>
      </w:r>
    </w:p>
    <w:p w14:paraId="4F8B6CA9" w14:textId="77777777" w:rsidR="00287F90" w:rsidRPr="00D30060" w:rsidRDefault="00287F90" w:rsidP="00D30060">
      <w:pPr>
        <w:ind w:firstLine="288"/>
        <w:jc w:val="both"/>
      </w:pPr>
      <w:r w:rsidRPr="00D30060">
        <w:rPr>
          <w:rFonts w:cs="Times New Roman"/>
          <w:color w:val="000000"/>
          <w:szCs w:val="20"/>
          <w:lang w:val="en-IN"/>
        </w:rPr>
        <w:t>The voter starts with an invitation or election link, followed by email OTP verification and a liveness check. The Android application is written in Kotlin with Jetpack Compose. CameraX supplies the camera stream, Google ML Kit checks that one face is visible, and Android SensorManager tracks the device orientation. In the reported workflow, the user rotates the device through approximately 360° while keeping the face inside the frame. The final image is then checked through AWS Rekognition using confidence, brightness, eyes-open, and glasses-related conditions. A successful check produces a short-lived HMAC-SHA256 biometric JWT for the relay request.</w:t>
      </w:r>
    </w:p>
    <w:p w14:paraId="32D46124" w14:textId="77777777" w:rsidR="00287F90" w:rsidRPr="00D30060" w:rsidRDefault="00287F90" w:rsidP="00D30060">
      <w:pPr>
        <w:ind w:firstLine="288"/>
        <w:jc w:val="both"/>
      </w:pPr>
      <w:r w:rsidRPr="00D30060">
        <w:rPr>
          <w:rFonts w:cs="Times New Roman"/>
          <w:color w:val="000000"/>
          <w:szCs w:val="20"/>
          <w:lang w:val="en-IN"/>
        </w:rPr>
        <w:t>Authentication happens in two stages. First confirms that the person requesting a ballot is the person who owns the invited email account. Second confirms that a live human being is present at the device at the time of the vote. Only after both checks passes that the backend accepts the ballot request.</w:t>
      </w:r>
    </w:p>
    <w:p w14:paraId="189F8270" w14:textId="77777777" w:rsidR="00287F90" w:rsidRPr="00D30060" w:rsidRDefault="00287F90" w:rsidP="00D30060">
      <w:pPr>
        <w:ind w:firstLine="288"/>
        <w:jc w:val="both"/>
      </w:pPr>
      <w:r w:rsidRPr="00D30060">
        <w:rPr>
          <w:rFonts w:cs="Times New Roman"/>
          <w:color w:val="000000"/>
          <w:szCs w:val="20"/>
          <w:lang w:val="en-IN"/>
        </w:rPr>
        <w:t>This procedure is intended to make simple attacks, such as showing a photograph, a paper cutout or a replayed video, more difficult. It should not be read as proof that every presentation attack has been stopped. Camera quality, lighting, device security, cloud-model behavior, accessibility, and demographic performance would all need to be tested separately.</w:t>
      </w:r>
    </w:p>
    <w:p w14:paraId="3A5BCCCB" w14:textId="77777777" w:rsidR="00287F90" w:rsidRPr="00D30060" w:rsidRDefault="00287F90" w:rsidP="00D30060">
      <w:pPr>
        <w:ind w:firstLine="288"/>
        <w:jc w:val="both"/>
      </w:pPr>
      <w:r w:rsidRPr="00D30060">
        <w:rPr>
          <w:rFonts w:cs="Times New Roman"/>
          <w:color w:val="000000"/>
          <w:szCs w:val="20"/>
          <w:lang w:val="en-IN"/>
        </w:rPr>
        <w:t>The server-side check adds a second, independent layer to this decision. While the on-device sensors confirm that the phone is physically moving and that one face is visible, the cloud-based face analysis evaluates the captured frame itself. Combining a local motion test and a remote image check means that an attacker has to defeat both mechanisms at once rather than either one alone.</w:t>
      </w:r>
    </w:p>
    <w:p w14:paraId="6ECC53DF" w14:textId="77777777" w:rsidR="00F72D9E" w:rsidRPr="00C253C8" w:rsidRDefault="00000000">
      <w:pPr>
        <w:spacing w:before="160" w:after="80"/>
      </w:pPr>
      <w:r w:rsidRPr="00C253C8">
        <w:rPr>
          <w:rFonts w:cs="Times New Roman"/>
          <w:b/>
          <w:i/>
          <w:color w:val="000000"/>
          <w:szCs w:val="20"/>
        </w:rPr>
        <w:t>B. PROPOSED METHODOLOGY</w:t>
      </w:r>
    </w:p>
    <w:p w14:paraId="2FBA80D5" w14:textId="77777777" w:rsidR="00F72D9E" w:rsidRPr="00C253C8" w:rsidRDefault="00000000">
      <w:pPr>
        <w:ind w:firstLine="288"/>
        <w:jc w:val="both"/>
      </w:pPr>
      <w:r w:rsidRPr="00C253C8">
        <w:rPr>
          <w:rFonts w:cs="Times New Roman"/>
          <w:color w:val="000000"/>
          <w:szCs w:val="20"/>
        </w:rPr>
        <w:t>The contract needs a way to recognize that a voter has already participated without publishing an email address or another reversible identifier. BlockVote derives a deterministic nullifier from a cleaned email value and an off-chain server secret:</w:t>
      </w:r>
    </w:p>
    <w:p w14:paraId="20ED37BC" w14:textId="77777777" w:rsidR="00C253C8" w:rsidRPr="00C253C8" w:rsidRDefault="00000000" w:rsidP="00460F2E">
      <w:pPr>
        <w:keepLines/>
        <w:spacing w:before="120" w:after="120"/>
        <w:jc w:val="center"/>
      </w:pPr>
      <w:r w:rsidRPr="00C253C8">
        <w:rPr>
          <w:rFonts w:cs="Times New Roman"/>
          <w:color w:val="000000"/>
          <w:szCs w:val="20"/>
        </w:rPr>
        <w:t>Nullifier = Keccak-256(clean(email) || SERVER_IDENTITY_SECRET)                                      (1)</w:t>
      </w:r>
    </w:p>
    <w:p w14:paraId="477FDE4B" w14:textId="77777777" w:rsidR="00C253C8" w:rsidRPr="00C253C8" w:rsidRDefault="00287F90" w:rsidP="00C253C8">
      <w:pPr>
        <w:keepLines/>
        <w:ind w:firstLine="288"/>
        <w:jc w:val="both"/>
      </w:pPr>
      <w:r w:rsidRPr="00C253C8">
        <w:rPr>
          <w:rFonts w:cs="Times New Roman"/>
          <w:bCs/>
          <w:color w:val="000000"/>
          <w:szCs w:val="20"/>
          <w:lang w:val="en-IN"/>
        </w:rPr>
        <w:t>The nullifier is used as a pseudonymous key in the per-election registration, vote-choice, and revision mappings. A public observer cannot directly recover the email from the stored value as long the server secret remains protected. This is a privacy-masking step, not a complete anonymous-credential scheme. Its usefulness depends on secret management, consistent email canonicalization, and the security of the identity service.</w:t>
      </w:r>
    </w:p>
    <w:p w14:paraId="0F7FC987" w14:textId="77777777" w:rsidR="00C253C8" w:rsidRPr="00C253C8" w:rsidRDefault="00287F90" w:rsidP="00C253C8">
      <w:pPr>
        <w:keepLines/>
        <w:ind w:firstLine="288"/>
        <w:jc w:val="both"/>
      </w:pPr>
      <w:r w:rsidRPr="00C253C8">
        <w:rPr>
          <w:rFonts w:cs="Times New Roman"/>
          <w:bCs/>
          <w:color w:val="000000"/>
          <w:szCs w:val="20"/>
          <w:lang w:val="en-IN"/>
        </w:rPr>
        <w:t>The nullifier is regenerated from the same inputs each time a voter participates in the same election, so the contract sees an identical value on every attempt. Different elections produce different nullifiers for the same voter because the election identifier enters the contract's per-election mappings. This keeps participation records separate across elections.</w:t>
      </w:r>
    </w:p>
    <w:p w14:paraId="4BBA7108" w14:textId="77777777" w:rsidR="00DA3DBA" w:rsidRDefault="00DA3DBA" w:rsidP="00C253C8">
      <w:pPr>
        <w:keepLines/>
        <w:spacing w:before="160" w:after="80"/>
        <w:rPr>
          <w:rFonts w:cs="Times New Roman"/>
          <w:b/>
          <w:bCs/>
          <w:i/>
          <w:color w:val="000000"/>
          <w:szCs w:val="20"/>
        </w:rPr>
      </w:pPr>
    </w:p>
    <w:p w14:paraId="6FD87AAD" w14:textId="77777777" w:rsidR="00DA3DBA" w:rsidRDefault="00DA3DBA" w:rsidP="00C253C8">
      <w:pPr>
        <w:keepLines/>
        <w:spacing w:before="160" w:after="80"/>
        <w:rPr>
          <w:rFonts w:cs="Times New Roman"/>
          <w:b/>
          <w:bCs/>
          <w:i/>
          <w:color w:val="000000"/>
          <w:szCs w:val="20"/>
        </w:rPr>
      </w:pPr>
    </w:p>
    <w:p w14:paraId="3462F132" w14:textId="4A8F2057" w:rsidR="00C253C8" w:rsidRPr="00D30060" w:rsidRDefault="00000000" w:rsidP="00C253C8">
      <w:pPr>
        <w:keepLines/>
        <w:spacing w:before="160" w:after="80"/>
      </w:pPr>
      <w:r w:rsidRPr="00D30060">
        <w:rPr>
          <w:rFonts w:cs="Times New Roman"/>
          <w:b/>
          <w:bCs/>
          <w:i/>
          <w:color w:val="000000"/>
          <w:szCs w:val="20"/>
        </w:rPr>
        <w:t>C. GASLESS RELAYING AND NONCE MANAGEMENT</w:t>
      </w:r>
    </w:p>
    <w:p w14:paraId="52CBEAFF" w14:textId="77777777" w:rsidR="00C253C8" w:rsidRPr="00C253C8" w:rsidRDefault="00287F90" w:rsidP="00C253C8">
      <w:pPr>
        <w:keepLines/>
        <w:ind w:firstLine="288"/>
        <w:jc w:val="both"/>
      </w:pPr>
      <w:r w:rsidRPr="00C253C8">
        <w:rPr>
          <w:rFonts w:cs="Times New Roman"/>
          <w:bCs/>
          <w:color w:val="000000"/>
          <w:szCs w:val="20"/>
          <w:lang w:val="en-IN"/>
        </w:rPr>
        <w:t>In a normal wallet-based dApp, the voter signs a transaction, broadcasts and pays the network fee. BlockVote separates those responsibilities. After the voter completes the application checks, the backend relayer-wallet calls the voting contract and pays the gas. Ethers.js v6 is used to prepare and submit the transaction.</w:t>
      </w:r>
    </w:p>
    <w:p w14:paraId="74031EB0" w14:textId="77777777" w:rsidR="00C253C8" w:rsidRPr="00C253C8" w:rsidRDefault="00287F90" w:rsidP="00C253C8">
      <w:pPr>
        <w:keepLines/>
        <w:ind w:firstLine="288"/>
        <w:jc w:val="both"/>
      </w:pPr>
      <w:r w:rsidRPr="00C253C8">
        <w:rPr>
          <w:rFonts w:cs="Times New Roman"/>
          <w:bCs/>
          <w:color w:val="000000"/>
          <w:szCs w:val="20"/>
          <w:lang w:val="en-IN"/>
        </w:rPr>
        <w:t>Using one relayer account also creates a practical nonce problem. If several requests arrive together, two requests could be given the same pending nonce. BlockVote places relay-requests in a promise queue and handles nonce assignment and submission in sequence. This removes the nonce collision seen in simpler implementations, but puts transaction availability at the mercy of the relayer service.</w:t>
      </w:r>
    </w:p>
    <w:p w14:paraId="36BD2EEA" w14:textId="77777777" w:rsidR="00C253C8" w:rsidRPr="00C253C8" w:rsidRDefault="00287F90" w:rsidP="00C253C8">
      <w:pPr>
        <w:keepLines/>
        <w:ind w:firstLine="288"/>
        <w:jc w:val="both"/>
      </w:pPr>
      <w:r w:rsidRPr="00C253C8">
        <w:rPr>
          <w:rFonts w:cs="Times New Roman"/>
          <w:bCs/>
          <w:color w:val="000000"/>
          <w:szCs w:val="20"/>
          <w:lang w:val="en-IN"/>
        </w:rPr>
        <w:t>The queue also gives the election operator a single place to observe transaction throughput and to pause or resume relayed submissions if the network or the election schedule requires it. Because every relayed call is an ordinary contract transaction, the public ledger still shows the complete sequence of ballot submissions even though the voters never touch a wallet.</w:t>
      </w:r>
    </w:p>
    <w:p w14:paraId="12BD8CEB" w14:textId="77777777" w:rsidR="00C253C8" w:rsidRPr="00D30060" w:rsidRDefault="00000000" w:rsidP="00C253C8">
      <w:pPr>
        <w:keepLines/>
        <w:spacing w:before="160" w:after="80"/>
      </w:pPr>
      <w:r w:rsidRPr="00D30060">
        <w:rPr>
          <w:rFonts w:cs="Times New Roman"/>
          <w:b/>
          <w:bCs/>
          <w:i/>
          <w:color w:val="000000"/>
          <w:szCs w:val="20"/>
        </w:rPr>
        <w:t>D. BLINDED BALLOTS AND RE-VOTING</w:t>
      </w:r>
    </w:p>
    <w:p w14:paraId="0CD3D8E8" w14:textId="77777777" w:rsidR="00C253C8" w:rsidRPr="00C253C8" w:rsidRDefault="00C253C8" w:rsidP="00C253C8">
      <w:pPr>
        <w:keepLines/>
        <w:ind w:firstLine="288"/>
        <w:jc w:val="both"/>
      </w:pPr>
      <w:r w:rsidRPr="00C253C8">
        <w:rPr>
          <w:rFonts w:cs="Times New Roman"/>
          <w:bCs/>
          <w:color w:val="000000"/>
          <w:szCs w:val="20"/>
          <w:lang w:val="en-IN"/>
        </w:rPr>
        <w:t>The contract uses a salted ballot commitment so that candidate identifiers do not appear in the public event log:</w:t>
      </w:r>
    </w:p>
    <w:p w14:paraId="36350556" w14:textId="77777777" w:rsidR="00C253C8" w:rsidRPr="00C253C8" w:rsidRDefault="00C253C8" w:rsidP="00C253C8">
      <w:pPr>
        <w:keepLines/>
        <w:spacing w:before="120" w:after="120"/>
        <w:jc w:val="center"/>
      </w:pPr>
      <w:r w:rsidRPr="00C253C8">
        <w:rPr>
          <w:rFonts w:cs="Times New Roman"/>
          <w:bCs/>
          <w:color w:val="000000"/>
          <w:szCs w:val="20"/>
          <w:lang w:val="en-IN"/>
        </w:rPr>
        <w:t>ballotHash = Keccak-256(encode(electionId, candidateId, voterNullifier, ballotSalt)) (2)</w:t>
      </w:r>
    </w:p>
    <w:p w14:paraId="2B1A91E7" w14:textId="77777777" w:rsidR="00C253C8" w:rsidRPr="00C253C8" w:rsidRDefault="00C253C8" w:rsidP="00C253C8">
      <w:pPr>
        <w:keepLines/>
        <w:ind w:firstLine="288"/>
        <w:jc w:val="both"/>
      </w:pPr>
      <w:r w:rsidRPr="00C253C8">
        <w:rPr>
          <w:rFonts w:cs="Times New Roman"/>
          <w:bCs/>
          <w:color w:val="000000"/>
          <w:szCs w:val="20"/>
          <w:lang w:val="en-IN"/>
        </w:rPr>
        <w:t>VoteCastPrivate records the election identifier, the commitment, and whether the submission is a re-vote. It does not include the candidate identifier or the voter's plaintext identity in the event signature. The candidate choice is still kept in contract storage because the tally has to be updated. The random salt makes it harder for an observer to test candidate values against the event data.</w:t>
      </w:r>
    </w:p>
    <w:p w14:paraId="355C26B5" w14:textId="77777777" w:rsidR="00C253C8" w:rsidRDefault="00C253C8" w:rsidP="00C253C8">
      <w:pPr>
        <w:keepLines/>
        <w:ind w:firstLine="288"/>
        <w:jc w:val="both"/>
      </w:pPr>
      <w:r w:rsidRPr="00C253C8">
        <w:rPr>
          <w:rFonts w:cs="Times New Roman"/>
          <w:bCs/>
          <w:color w:val="000000"/>
          <w:szCs w:val="20"/>
          <w:lang w:val="en-IN"/>
        </w:rPr>
        <w:t>The re-vote flag in the event lets an observer know that a correction happened without revealing which candidate was involved. Over a full election, this gives a useful audit signal: the number of revisions can be compared with the number of registered voters to detect unusual patterns without exposing any individual choice.</w:t>
      </w:r>
    </w:p>
    <w:p w14:paraId="2B45B4CA" w14:textId="77777777" w:rsidR="00460F2E" w:rsidRPr="00C253C8" w:rsidRDefault="00460F2E" w:rsidP="00460F2E">
      <w:pPr>
        <w:keepLines/>
        <w:ind w:firstLine="288"/>
        <w:jc w:val="both"/>
      </w:pPr>
      <w:r w:rsidRPr="00C253C8">
        <w:rPr>
          <w:rFonts w:cs="Times New Roman"/>
          <w:bCs/>
          <w:color w:val="000000"/>
          <w:szCs w:val="20"/>
          <w:lang w:val="en-IN"/>
        </w:rPr>
        <w:t>A voter can submit another choice while the election is open. If a previous choice exists, the contract reduces the old candidate count,</w:t>
      </w:r>
      <w:r>
        <w:rPr>
          <w:rFonts w:cs="Times New Roman"/>
          <w:bCs/>
          <w:color w:val="000000"/>
          <w:szCs w:val="20"/>
          <w:lang w:val="en-IN"/>
        </w:rPr>
        <w:t xml:space="preserve"> increases the new candidate count and </w:t>
      </w:r>
    </w:p>
    <w:p w14:paraId="2C35645A" w14:textId="77777777" w:rsidR="00C253C8" w:rsidRPr="00C253C8" w:rsidRDefault="00C253C8" w:rsidP="00C253C8">
      <w:pPr>
        <w:keepLines/>
        <w:ind w:firstLine="288"/>
        <w:jc w:val="both"/>
      </w:pPr>
      <w:r w:rsidRPr="00C253C8">
        <w:rPr>
          <w:rFonts w:cs="Times New Roman"/>
          <w:bCs/>
          <w:color w:val="000000"/>
          <w:szCs w:val="20"/>
          <w:lang w:val="en-IN"/>
        </w:rPr>
        <w:t>records a revision. The current choice is therefore the one included in the tally. This is intended to help in a simple coercion scenario: a voter who was forced to select candidate A can later submit candidate B without giving the coercer a reliable final receipt.</w:t>
      </w:r>
    </w:p>
    <w:p w14:paraId="1757A8AA" w14:textId="77777777" w:rsidR="00C253C8" w:rsidRPr="00C253C8" w:rsidRDefault="00C253C8" w:rsidP="00C253C8">
      <w:pPr>
        <w:keepLines/>
        <w:ind w:firstLine="288"/>
        <w:jc w:val="both"/>
      </w:pPr>
      <w:r w:rsidRPr="00C253C8">
        <w:rPr>
          <w:rFonts w:cs="Times New Roman"/>
          <w:bCs/>
          <w:color w:val="000000"/>
          <w:szCs w:val="20"/>
          <w:lang w:val="en-IN"/>
        </w:rPr>
        <w:t>The contract stores the latest choice per nullifier and per election, so the revision logic is bounded: a voter can change a selection any number of times during the voting window, but only the most recent choice contributes to the final tally. When the election is finalized, the counts stored in the contract reflect exactly one vote per participating nullifier.</w:t>
      </w:r>
    </w:p>
    <w:p w14:paraId="65BE863F" w14:textId="77777777" w:rsidR="00DA3DBA" w:rsidRDefault="00DA3DBA" w:rsidP="00D30060">
      <w:pPr>
        <w:keepLines/>
        <w:spacing w:before="160" w:after="80"/>
        <w:rPr>
          <w:rFonts w:cs="Times New Roman"/>
          <w:b/>
          <w:bCs/>
          <w:i/>
          <w:color w:val="000000"/>
          <w:szCs w:val="20"/>
        </w:rPr>
      </w:pPr>
    </w:p>
    <w:p w14:paraId="18EE3EAD" w14:textId="5EE72D37" w:rsidR="00460F2E" w:rsidRDefault="00000000" w:rsidP="00D30060">
      <w:pPr>
        <w:keepLines/>
        <w:spacing w:before="160" w:after="80"/>
      </w:pPr>
      <w:r w:rsidRPr="00D30060">
        <w:rPr>
          <w:rFonts w:cs="Times New Roman"/>
          <w:b/>
          <w:bCs/>
          <w:i/>
          <w:color w:val="000000"/>
          <w:szCs w:val="20"/>
        </w:rPr>
        <w:lastRenderedPageBreak/>
        <w:t>E. UUPS GOVERNANCE AND UPGRADE AUTHORIZATION</w:t>
      </w:r>
    </w:p>
    <w:p w14:paraId="06E7402D" w14:textId="77777777" w:rsidR="00460F2E" w:rsidRDefault="00C253C8" w:rsidP="00460F2E">
      <w:pPr>
        <w:keepLines/>
        <w:ind w:firstLine="288"/>
        <w:jc w:val="both"/>
      </w:pPr>
      <w:r w:rsidRPr="00460F2E">
        <w:rPr>
          <w:rFonts w:cs="Times New Roman"/>
          <w:color w:val="000000"/>
          <w:szCs w:val="20"/>
          <w:lang w:val="en-IN"/>
        </w:rPr>
        <w:t>VotingV3.sol uses the UUPS proxy model. The proxy holds the election state while the implementation contract contains the logic. Before an implementation is changed, the authorization routine looks for an unexecuted proposal with at least two guardian approvals. Three guardian keys are configured, so any two are needed for an upgrade.</w:t>
      </w:r>
    </w:p>
    <w:p w14:paraId="7095C334" w14:textId="4AFE787C" w:rsidR="00C253C8" w:rsidRPr="00460F2E" w:rsidRDefault="00C253C8" w:rsidP="00DA3DBA">
      <w:pPr>
        <w:keepLines/>
        <w:spacing w:before="120" w:after="120"/>
        <w:jc w:val="both"/>
      </w:pPr>
      <w:r w:rsidRPr="00460F2E">
        <w:rPr>
          <w:rFonts w:cs="Times New Roman"/>
          <w:iCs/>
          <w:color w:val="000000"/>
          <w:szCs w:val="20"/>
          <w:lang w:val="en-IN"/>
        </w:rPr>
        <w:t>UpgradeAccepted = 1, if approvalCount ≥ 2</w:t>
      </w:r>
      <w:r w:rsidRPr="00460F2E">
        <w:rPr>
          <w:rFonts w:cs="Times New Roman"/>
          <w:color w:val="000000"/>
          <w:szCs w:val="20"/>
          <w:lang w:val="en-IN"/>
        </w:rPr>
        <w:t xml:space="preserve"> and proposal is unexecuted; otherwise 0 (3)</w:t>
      </w:r>
      <w:r w:rsidR="00460F2E">
        <w:rPr>
          <w:rFonts w:cs="Times New Roman"/>
          <w:color w:val="000000"/>
          <w:szCs w:val="20"/>
          <w:lang w:val="en-IN"/>
        </w:rPr>
        <w:t xml:space="preserve">. </w:t>
      </w:r>
      <w:r w:rsidRPr="00460F2E">
        <w:rPr>
          <w:rFonts w:cs="Times New Roman"/>
          <w:color w:val="000000"/>
          <w:szCs w:val="20"/>
          <w:lang w:val="en-IN"/>
        </w:rPr>
        <w:t>The threshold makes a single compromised administrator key less powerful but is not a complete governance solution. Two colluding guardians could approve harmful code, and a careless storage-layout change could damage the proxy state. Guardian key custody, proposal review, and upgrade monitoring are therefore important parts</w:t>
      </w:r>
      <w:r w:rsidR="00DA3DBA">
        <w:rPr>
          <w:rFonts w:cs="Times New Roman"/>
          <w:color w:val="000000"/>
          <w:szCs w:val="20"/>
          <w:lang w:val="en-IN"/>
        </w:rPr>
        <w:t xml:space="preserve"> </w:t>
      </w:r>
      <w:r w:rsidRPr="00460F2E">
        <w:rPr>
          <w:rFonts w:cs="Times New Roman"/>
          <w:color w:val="000000"/>
          <w:szCs w:val="20"/>
          <w:lang w:val="en-IN"/>
        </w:rPr>
        <w:t>of the deployment process.</w:t>
      </w:r>
    </w:p>
    <w:p w14:paraId="3C6E9F52" w14:textId="77777777" w:rsidR="00C253C8" w:rsidRPr="00D30060" w:rsidRDefault="00C253C8" w:rsidP="00D30060">
      <w:pPr>
        <w:ind w:firstLine="288"/>
        <w:jc w:val="both"/>
      </w:pPr>
      <w:r w:rsidRPr="00D30060">
        <w:rPr>
          <w:rFonts w:cs="Times New Roman"/>
          <w:color w:val="000000"/>
          <w:szCs w:val="20"/>
          <w:lang w:val="en-IN"/>
        </w:rPr>
        <w:t>A guardian who receives a proposal can verify the proposed implementation address before signing. The approval count is checked on-chain at execution time, so the contract itself enforces the threshold rather than an off-process agreement among the guardians.</w:t>
      </w:r>
    </w:p>
    <w:p w14:paraId="7AE2E952" w14:textId="77777777" w:rsidR="00F72D9E" w:rsidRPr="00C253C8" w:rsidRDefault="00C253C8">
      <w:pPr>
        <w:spacing w:before="160" w:after="80"/>
      </w:pPr>
      <w:r w:rsidRPr="00C253C8">
        <w:rPr>
          <w:rFonts w:cs="Times New Roman"/>
          <w:b/>
          <w:i/>
          <w:color w:val="000000"/>
          <w:szCs w:val="20"/>
        </w:rPr>
        <w:t>F. SECURITY AND THREAT MODEL</w:t>
      </w:r>
    </w:p>
    <w:p w14:paraId="6E1DFB80" w14:textId="77777777" w:rsidR="00C253C8" w:rsidRPr="00D30060" w:rsidRDefault="00C253C8" w:rsidP="00D30060">
      <w:pPr>
        <w:keepNext/>
        <w:ind w:firstLine="288"/>
        <w:jc w:val="both"/>
      </w:pPr>
      <w:r w:rsidRPr="00D30060">
        <w:rPr>
          <w:rFonts w:eastAsiaTheme="majorEastAsia" w:cs="Times New Roman"/>
          <w:color w:val="000000"/>
          <w:szCs w:val="20"/>
          <w:lang w:val="en-IN"/>
        </w:rPr>
        <w:t>The threat model consists of an attacker who can inspect public blocks and events, make repeated application requests, attempt to register multiple accounts, observe the voter interface, or compromise one administrative key. It does not assume that the phone, camera, biometric provider, email provider, cloud database or relayer are automatically trustworthy. It also does not claim protection against a compromised blockchain majority or against coercion that occurs when an attacker controls the voter’s device.</w:t>
      </w:r>
    </w:p>
    <w:p w14:paraId="0F466280" w14:textId="77777777" w:rsidR="00C253C8" w:rsidRDefault="00C253C8" w:rsidP="00D30060">
      <w:pPr>
        <w:keepNext/>
        <w:ind w:firstLine="288"/>
        <w:jc w:val="both"/>
      </w:pPr>
      <w:r w:rsidRPr="00D30060">
        <w:rPr>
          <w:rFonts w:eastAsiaTheme="majorEastAsia" w:cs="Times New Roman"/>
          <w:color w:val="000000"/>
          <w:szCs w:val="20"/>
          <w:lang w:val="en-IN"/>
        </w:rPr>
        <w:t>Attacks that would be outside the model are a compromised device operating system, a tampered application build, a compromised biometric provider, or an attacker who controls the voter’s environment so completely that the liveness workflow itself is observed. Those are important, but are a matter of platform security rather than of the implementation of the election protocol itself.</w:t>
      </w:r>
    </w:p>
    <w:p w14:paraId="1A3D8BDD" w14:textId="77777777" w:rsidR="00460F2E" w:rsidRPr="00D30060" w:rsidRDefault="00460F2E" w:rsidP="00D30060">
      <w:pPr>
        <w:keepNext/>
        <w:spacing w:before="40" w:after="20"/>
        <w:jc w:val="both"/>
        <w:rPr>
          <w:rFonts w:eastAsiaTheme="majorEastAsia" w:cs="Times New Roman"/>
          <w:color w:val="000000" w:themeColor="text1"/>
          <w:szCs w:val="20"/>
          <w:lang w:val="en-IN"/>
        </w:rPr>
      </w:pPr>
    </w:p>
    <w:p w14:paraId="462B5C13" w14:textId="77777777" w:rsidR="00F72D9E" w:rsidRPr="00C253C8" w:rsidRDefault="00000000">
      <w:pPr>
        <w:keepNext/>
        <w:spacing w:before="120" w:after="120"/>
        <w:jc w:val="center"/>
      </w:pPr>
      <w:r w:rsidRPr="00C253C8">
        <w:rPr>
          <w:rFonts w:cs="Times New Roman"/>
          <w:color w:val="000000"/>
          <w:sz w:val="16"/>
          <w:szCs w:val="20"/>
        </w:rPr>
        <w:t>TABLE I. THREAT MODEL AND MITIGATIONS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43"/>
        <w:gridCol w:w="1691"/>
        <w:gridCol w:w="1732"/>
      </w:tblGrid>
      <w:tr w:rsidR="00F72D9E" w:rsidRPr="00C253C8" w14:paraId="01EEBB9F" w14:textId="77777777">
        <w:trPr>
          <w:jc w:val="center"/>
        </w:trPr>
        <w:tc>
          <w:tcPr>
            <w:tcW w:w="3408" w:type="dxa"/>
            <w:tcBorders>
              <w:top w:val="single" w:sz="4" w:space="0" w:color="888888"/>
              <w:left w:val="single" w:sz="4" w:space="0" w:color="888888"/>
              <w:bottom w:val="single" w:sz="4" w:space="0" w:color="888888"/>
              <w:right w:val="single" w:sz="4" w:space="0" w:color="888888"/>
            </w:tcBorders>
            <w:shd w:val="clear" w:color="auto" w:fill="D9EAF7"/>
            <w:vAlign w:val="center"/>
          </w:tcPr>
          <w:p w14:paraId="087826FD" w14:textId="77777777" w:rsidR="00F72D9E" w:rsidRPr="00C253C8" w:rsidRDefault="00000000">
            <w:pPr>
              <w:spacing w:before="40" w:after="40"/>
              <w:rPr>
                <w:rFonts w:cs="Times New Roman"/>
                <w:color w:val="000000" w:themeColor="text1"/>
                <w:szCs w:val="20"/>
              </w:rPr>
            </w:pPr>
            <w:r w:rsidRPr="00C253C8">
              <w:rPr>
                <w:rFonts w:cs="Times New Roman"/>
                <w:b/>
                <w:color w:val="000000"/>
                <w:sz w:val="16"/>
                <w:szCs w:val="20"/>
              </w:rPr>
              <w:t>Threat</w:t>
            </w:r>
          </w:p>
        </w:tc>
        <w:tc>
          <w:tcPr>
            <w:tcW w:w="3408" w:type="dxa"/>
            <w:tcBorders>
              <w:top w:val="single" w:sz="4" w:space="0" w:color="888888"/>
              <w:left w:val="single" w:sz="4" w:space="0" w:color="888888"/>
              <w:bottom w:val="single" w:sz="4" w:space="0" w:color="888888"/>
              <w:right w:val="single" w:sz="4" w:space="0" w:color="888888"/>
            </w:tcBorders>
            <w:shd w:val="clear" w:color="auto" w:fill="D9EAF7"/>
            <w:vAlign w:val="center"/>
          </w:tcPr>
          <w:p w14:paraId="047C6279" w14:textId="77777777" w:rsidR="00F72D9E" w:rsidRPr="00C253C8" w:rsidRDefault="00000000">
            <w:pPr>
              <w:spacing w:before="40" w:after="40"/>
              <w:rPr>
                <w:rFonts w:cs="Times New Roman"/>
                <w:color w:val="000000" w:themeColor="text1"/>
                <w:szCs w:val="20"/>
              </w:rPr>
            </w:pPr>
            <w:r w:rsidRPr="00C253C8">
              <w:rPr>
                <w:rFonts w:cs="Times New Roman"/>
                <w:b/>
                <w:color w:val="000000"/>
                <w:sz w:val="16"/>
                <w:szCs w:val="20"/>
              </w:rPr>
              <w:t>BlockVote control</w:t>
            </w:r>
          </w:p>
        </w:tc>
        <w:tc>
          <w:tcPr>
            <w:tcW w:w="3408" w:type="dxa"/>
            <w:tcBorders>
              <w:top w:val="single" w:sz="4" w:space="0" w:color="888888"/>
              <w:left w:val="single" w:sz="4" w:space="0" w:color="888888"/>
              <w:bottom w:val="single" w:sz="4" w:space="0" w:color="888888"/>
              <w:right w:val="single" w:sz="4" w:space="0" w:color="888888"/>
            </w:tcBorders>
            <w:shd w:val="clear" w:color="auto" w:fill="D9EAF7"/>
            <w:vAlign w:val="center"/>
          </w:tcPr>
          <w:p w14:paraId="32DA7607" w14:textId="77777777" w:rsidR="00F72D9E" w:rsidRPr="00C253C8" w:rsidRDefault="00000000">
            <w:pPr>
              <w:spacing w:before="40" w:after="40"/>
              <w:rPr>
                <w:rFonts w:cs="Times New Roman"/>
                <w:color w:val="000000" w:themeColor="text1"/>
                <w:szCs w:val="20"/>
              </w:rPr>
            </w:pPr>
            <w:r w:rsidRPr="00C253C8">
              <w:rPr>
                <w:rFonts w:cs="Times New Roman"/>
                <w:b/>
                <w:color w:val="000000"/>
                <w:sz w:val="16"/>
                <w:szCs w:val="20"/>
              </w:rPr>
              <w:t>Remaining concern</w:t>
            </w:r>
          </w:p>
        </w:tc>
      </w:tr>
      <w:tr w:rsidR="00F72D9E" w:rsidRPr="00C253C8" w14:paraId="2E761AD5" w14:textId="77777777">
        <w:trPr>
          <w:jc w:val="center"/>
        </w:trPr>
        <w:tc>
          <w:tcPr>
            <w:tcW w:w="3408" w:type="dxa"/>
            <w:tcBorders>
              <w:top w:val="single" w:sz="4" w:space="0" w:color="888888"/>
              <w:left w:val="single" w:sz="4" w:space="0" w:color="888888"/>
              <w:bottom w:val="single" w:sz="4" w:space="0" w:color="888888"/>
              <w:right w:val="single" w:sz="4" w:space="0" w:color="888888"/>
            </w:tcBorders>
          </w:tcPr>
          <w:p w14:paraId="3EA06468"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Duplicate voting</w:t>
            </w:r>
          </w:p>
        </w:tc>
        <w:tc>
          <w:tcPr>
            <w:tcW w:w="3408" w:type="dxa"/>
            <w:tcBorders>
              <w:top w:val="single" w:sz="4" w:space="0" w:color="888888"/>
              <w:left w:val="single" w:sz="4" w:space="0" w:color="888888"/>
              <w:bottom w:val="single" w:sz="4" w:space="0" w:color="888888"/>
              <w:right w:val="single" w:sz="4" w:space="0" w:color="888888"/>
            </w:tcBorders>
          </w:tcPr>
          <w:p w14:paraId="2A38B29E"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Per-election nullifier and vote-choice mappings; later submissions update rather than duplicate the tally.</w:t>
            </w:r>
          </w:p>
        </w:tc>
        <w:tc>
          <w:tcPr>
            <w:tcW w:w="3408" w:type="dxa"/>
            <w:tcBorders>
              <w:top w:val="single" w:sz="4" w:space="0" w:color="888888"/>
              <w:left w:val="single" w:sz="4" w:space="0" w:color="888888"/>
              <w:bottom w:val="single" w:sz="4" w:space="0" w:color="888888"/>
              <w:right w:val="single" w:sz="4" w:space="0" w:color="888888"/>
            </w:tcBorders>
          </w:tcPr>
          <w:p w14:paraId="5C2910CB"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Compromise of the identity service or secret can undermine uniqueness.</w:t>
            </w:r>
          </w:p>
        </w:tc>
      </w:tr>
      <w:tr w:rsidR="00F72D9E" w:rsidRPr="00C253C8" w14:paraId="6F262BFC" w14:textId="77777777">
        <w:trPr>
          <w:jc w:val="center"/>
        </w:trPr>
        <w:tc>
          <w:tcPr>
            <w:tcW w:w="3408" w:type="dxa"/>
            <w:tcBorders>
              <w:top w:val="single" w:sz="4" w:space="0" w:color="888888"/>
              <w:left w:val="single" w:sz="4" w:space="0" w:color="888888"/>
              <w:bottom w:val="single" w:sz="4" w:space="0" w:color="888888"/>
              <w:right w:val="single" w:sz="4" w:space="0" w:color="888888"/>
            </w:tcBorders>
          </w:tcPr>
          <w:p w14:paraId="03F0241D"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Sybil registration</w:t>
            </w:r>
          </w:p>
        </w:tc>
        <w:tc>
          <w:tcPr>
            <w:tcW w:w="3408" w:type="dxa"/>
            <w:tcBorders>
              <w:top w:val="single" w:sz="4" w:space="0" w:color="888888"/>
              <w:left w:val="single" w:sz="4" w:space="0" w:color="888888"/>
              <w:bottom w:val="single" w:sz="4" w:space="0" w:color="888888"/>
              <w:right w:val="single" w:sz="4" w:space="0" w:color="888888"/>
            </w:tcBorders>
          </w:tcPr>
          <w:p w14:paraId="2EA631FF"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OTP, face checks, and reported similarity screening are applied before relay.</w:t>
            </w:r>
          </w:p>
        </w:tc>
        <w:tc>
          <w:tcPr>
            <w:tcW w:w="3408" w:type="dxa"/>
            <w:tcBorders>
              <w:top w:val="single" w:sz="4" w:space="0" w:color="888888"/>
              <w:left w:val="single" w:sz="4" w:space="0" w:color="888888"/>
              <w:bottom w:val="single" w:sz="4" w:space="0" w:color="888888"/>
              <w:right w:val="single" w:sz="4" w:space="0" w:color="888888"/>
            </w:tcBorders>
          </w:tcPr>
          <w:p w14:paraId="38D8C5B9"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False matches, false rejects, and coordinated identities require independent testing.</w:t>
            </w:r>
          </w:p>
        </w:tc>
      </w:tr>
      <w:tr w:rsidR="00F72D9E" w:rsidRPr="00C253C8" w14:paraId="1D11BD9C" w14:textId="77777777">
        <w:trPr>
          <w:jc w:val="center"/>
        </w:trPr>
        <w:tc>
          <w:tcPr>
            <w:tcW w:w="3408" w:type="dxa"/>
            <w:tcBorders>
              <w:top w:val="single" w:sz="4" w:space="0" w:color="888888"/>
              <w:left w:val="single" w:sz="4" w:space="0" w:color="888888"/>
              <w:bottom w:val="single" w:sz="4" w:space="0" w:color="888888"/>
              <w:right w:val="single" w:sz="4" w:space="0" w:color="888888"/>
            </w:tcBorders>
          </w:tcPr>
          <w:p w14:paraId="26726453"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Ballot observation</w:t>
            </w:r>
          </w:p>
        </w:tc>
        <w:tc>
          <w:tcPr>
            <w:tcW w:w="3408" w:type="dxa"/>
            <w:tcBorders>
              <w:top w:val="single" w:sz="4" w:space="0" w:color="888888"/>
              <w:left w:val="single" w:sz="4" w:space="0" w:color="888888"/>
              <w:bottom w:val="single" w:sz="4" w:space="0" w:color="888888"/>
              <w:right w:val="single" w:sz="4" w:space="0" w:color="888888"/>
            </w:tcBorders>
          </w:tcPr>
          <w:p w14:paraId="0D7F8EB6"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Blinded salted event values avoid publishing candidateId in the event signature.</w:t>
            </w:r>
          </w:p>
        </w:tc>
        <w:tc>
          <w:tcPr>
            <w:tcW w:w="3408" w:type="dxa"/>
            <w:tcBorders>
              <w:top w:val="single" w:sz="4" w:space="0" w:color="888888"/>
              <w:left w:val="single" w:sz="4" w:space="0" w:color="888888"/>
              <w:bottom w:val="single" w:sz="4" w:space="0" w:color="888888"/>
              <w:right w:val="single" w:sz="4" w:space="0" w:color="888888"/>
            </w:tcBorders>
          </w:tcPr>
          <w:p w14:paraId="71928553"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The relayer and backend still observe authenticated requests.</w:t>
            </w:r>
          </w:p>
        </w:tc>
      </w:tr>
      <w:tr w:rsidR="00F72D9E" w:rsidRPr="00C253C8" w14:paraId="196106BF" w14:textId="77777777">
        <w:trPr>
          <w:jc w:val="center"/>
        </w:trPr>
        <w:tc>
          <w:tcPr>
            <w:tcW w:w="3408" w:type="dxa"/>
            <w:tcBorders>
              <w:top w:val="single" w:sz="4" w:space="0" w:color="888888"/>
              <w:left w:val="single" w:sz="4" w:space="0" w:color="888888"/>
              <w:bottom w:val="single" w:sz="4" w:space="0" w:color="888888"/>
              <w:right w:val="single" w:sz="4" w:space="0" w:color="888888"/>
            </w:tcBorders>
          </w:tcPr>
          <w:p w14:paraId="4CA3D845"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Vote coercion</w:t>
            </w:r>
          </w:p>
        </w:tc>
        <w:tc>
          <w:tcPr>
            <w:tcW w:w="3408" w:type="dxa"/>
            <w:tcBorders>
              <w:top w:val="single" w:sz="4" w:space="0" w:color="888888"/>
              <w:left w:val="single" w:sz="4" w:space="0" w:color="888888"/>
              <w:bottom w:val="single" w:sz="4" w:space="0" w:color="888888"/>
              <w:right w:val="single" w:sz="4" w:space="0" w:color="888888"/>
            </w:tcBorders>
          </w:tcPr>
          <w:p w14:paraId="44ACBDA9"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Re-voting permits a later choice and does not expose a receipt containing candidateId.</w:t>
            </w:r>
          </w:p>
        </w:tc>
        <w:tc>
          <w:tcPr>
            <w:tcW w:w="3408" w:type="dxa"/>
            <w:tcBorders>
              <w:top w:val="single" w:sz="4" w:space="0" w:color="888888"/>
              <w:left w:val="single" w:sz="4" w:space="0" w:color="888888"/>
              <w:bottom w:val="single" w:sz="4" w:space="0" w:color="888888"/>
              <w:right w:val="single" w:sz="4" w:space="0" w:color="888888"/>
            </w:tcBorders>
          </w:tcPr>
          <w:p w14:paraId="31F4DA22"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Coercion outside the protocol and device compromise remain possible.</w:t>
            </w:r>
          </w:p>
        </w:tc>
      </w:tr>
      <w:tr w:rsidR="00F72D9E" w:rsidRPr="00C253C8" w14:paraId="77E7F1AF" w14:textId="77777777">
        <w:trPr>
          <w:jc w:val="center"/>
        </w:trPr>
        <w:tc>
          <w:tcPr>
            <w:tcW w:w="3408" w:type="dxa"/>
            <w:tcBorders>
              <w:top w:val="single" w:sz="4" w:space="0" w:color="888888"/>
              <w:left w:val="single" w:sz="4" w:space="0" w:color="888888"/>
              <w:bottom w:val="single" w:sz="4" w:space="0" w:color="888888"/>
              <w:right w:val="single" w:sz="4" w:space="0" w:color="888888"/>
            </w:tcBorders>
          </w:tcPr>
          <w:p w14:paraId="3A4C904C"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Relayer nonce collision</w:t>
            </w:r>
          </w:p>
        </w:tc>
        <w:tc>
          <w:tcPr>
            <w:tcW w:w="3408" w:type="dxa"/>
            <w:tcBorders>
              <w:top w:val="single" w:sz="4" w:space="0" w:color="888888"/>
              <w:left w:val="single" w:sz="4" w:space="0" w:color="888888"/>
              <w:bottom w:val="single" w:sz="4" w:space="0" w:color="888888"/>
              <w:right w:val="single" w:sz="4" w:space="0" w:color="888888"/>
            </w:tcBorders>
          </w:tcPr>
          <w:p w14:paraId="26489551"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Serialized promise queue assigns and submits nonces sequentially.</w:t>
            </w:r>
          </w:p>
        </w:tc>
        <w:tc>
          <w:tcPr>
            <w:tcW w:w="3408" w:type="dxa"/>
            <w:tcBorders>
              <w:top w:val="single" w:sz="4" w:space="0" w:color="888888"/>
              <w:left w:val="single" w:sz="4" w:space="0" w:color="888888"/>
              <w:bottom w:val="single" w:sz="4" w:space="0" w:color="888888"/>
              <w:right w:val="single" w:sz="4" w:space="0" w:color="888888"/>
            </w:tcBorders>
          </w:tcPr>
          <w:p w14:paraId="499518DF"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A relayer outage can delay or temporarily stop submissions.</w:t>
            </w:r>
          </w:p>
        </w:tc>
      </w:tr>
      <w:tr w:rsidR="00F72D9E" w:rsidRPr="00C253C8" w14:paraId="665E8295" w14:textId="77777777">
        <w:trPr>
          <w:jc w:val="center"/>
        </w:trPr>
        <w:tc>
          <w:tcPr>
            <w:tcW w:w="3408" w:type="dxa"/>
            <w:tcBorders>
              <w:top w:val="single" w:sz="4" w:space="0" w:color="888888"/>
              <w:left w:val="single" w:sz="4" w:space="0" w:color="888888"/>
              <w:bottom w:val="single" w:sz="4" w:space="0" w:color="888888"/>
              <w:right w:val="single" w:sz="4" w:space="0" w:color="888888"/>
            </w:tcBorders>
          </w:tcPr>
          <w:p w14:paraId="182FBC24"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Malicious upgrade</w:t>
            </w:r>
          </w:p>
        </w:tc>
        <w:tc>
          <w:tcPr>
            <w:tcW w:w="3408" w:type="dxa"/>
            <w:tcBorders>
              <w:top w:val="single" w:sz="4" w:space="0" w:color="888888"/>
              <w:left w:val="single" w:sz="4" w:space="0" w:color="888888"/>
              <w:bottom w:val="single" w:sz="4" w:space="0" w:color="888888"/>
              <w:right w:val="single" w:sz="4" w:space="0" w:color="888888"/>
            </w:tcBorders>
          </w:tcPr>
          <w:p w14:paraId="7A516467"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Two of three guardian approvals are required by the UUPS gate.</w:t>
            </w:r>
          </w:p>
        </w:tc>
        <w:tc>
          <w:tcPr>
            <w:tcW w:w="3408" w:type="dxa"/>
            <w:tcBorders>
              <w:top w:val="single" w:sz="4" w:space="0" w:color="888888"/>
              <w:left w:val="single" w:sz="4" w:space="0" w:color="888888"/>
              <w:bottom w:val="single" w:sz="4" w:space="0" w:color="888888"/>
              <w:right w:val="single" w:sz="4" w:space="0" w:color="888888"/>
            </w:tcBorders>
          </w:tcPr>
          <w:p w14:paraId="1F85AD85"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Two colluding or compromised guardians can still authorize bad code.</w:t>
            </w:r>
          </w:p>
        </w:tc>
      </w:tr>
    </w:tbl>
    <w:p w14:paraId="52C481F8" w14:textId="77777777" w:rsidR="00F72D9E" w:rsidRPr="00C253C8" w:rsidRDefault="00C253C8">
      <w:pPr>
        <w:spacing w:before="160" w:after="80"/>
      </w:pPr>
      <w:r w:rsidRPr="00C253C8">
        <w:rPr>
          <w:rFonts w:cs="Times New Roman"/>
          <w:b/>
          <w:i/>
          <w:color w:val="000000"/>
          <w:szCs w:val="20"/>
        </w:rPr>
        <w:t>G. IMPLEMENTATION</w:t>
      </w:r>
    </w:p>
    <w:p w14:paraId="57BAD9E3" w14:textId="77777777" w:rsidR="00C253C8" w:rsidRPr="00D30060" w:rsidRDefault="00C253C8" w:rsidP="00D30060">
      <w:pPr>
        <w:keepNext/>
        <w:ind w:firstLine="288"/>
        <w:jc w:val="both"/>
      </w:pPr>
      <w:r w:rsidRPr="00D30060">
        <w:rPr>
          <w:rFonts w:eastAsiaTheme="majorEastAsia" w:cs="Times New Roman"/>
          <w:color w:val="000000"/>
          <w:szCs w:val="20"/>
          <w:lang w:val="en-IN"/>
        </w:rPr>
        <w:t>The implementation is split between an Android application and a web and contract workspace. The Android module hosts the Compose screens, dependency-injection modules, repositories, and biometric scanning flow. The web workspace contains VotingV3.sol, the Next.js API routes, the election dashboard, the guardian portal, the relay engine, identity utilities, storage integrations, and Hardhat configuration.</w:t>
      </w:r>
    </w:p>
    <w:p w14:paraId="3645CEA7" w14:textId="77777777" w:rsidR="00C253C8" w:rsidRPr="00D30060" w:rsidRDefault="00C253C8" w:rsidP="00D30060">
      <w:pPr>
        <w:keepNext/>
        <w:ind w:firstLine="288"/>
        <w:jc w:val="both"/>
      </w:pPr>
      <w:r w:rsidRPr="00D30060">
        <w:rPr>
          <w:rFonts w:eastAsiaTheme="majorEastAsia" w:cs="Times New Roman"/>
          <w:color w:val="000000"/>
          <w:szCs w:val="20"/>
          <w:lang w:val="en-IN"/>
        </w:rPr>
        <w:t>The Android application is the primary voter surface. It processes the camera stream, the rotation sensor, the biometric submission, and the ballot interface. The desktop portal parallels the same flow for users who prefer a larger screen, using the browser's camera capture rather than native sensor access.</w:t>
      </w:r>
    </w:p>
    <w:p w14:paraId="2F15B9CE" w14:textId="77777777" w:rsidR="00C253C8" w:rsidRPr="00D30060" w:rsidRDefault="00C253C8" w:rsidP="00D30060">
      <w:pPr>
        <w:keepNext/>
        <w:ind w:firstLine="288"/>
        <w:jc w:val="both"/>
      </w:pPr>
      <w:r w:rsidRPr="00D30060">
        <w:rPr>
          <w:rFonts w:eastAsiaTheme="majorEastAsia" w:cs="Times New Roman"/>
          <w:color w:val="000000"/>
          <w:szCs w:val="20"/>
          <w:lang w:val="en-IN"/>
        </w:rPr>
        <w:t>VotingV3.sol is written for Solidity ^0.8.22. It supports election creation, candidate registration, election phase changes, per-election voter registration, relayed vote casting, vote revisions, and upgrade proposals. The web dashboard supports election setup and roster upload. The guardian portal displays proposed implementation addresses to sign, while the verification route provides transaction receipts and links to election metadata.</w:t>
      </w:r>
    </w:p>
    <w:p w14:paraId="6F85E535" w14:textId="77777777" w:rsidR="00C253C8" w:rsidRPr="00D30060" w:rsidRDefault="00C253C8" w:rsidP="00D30060">
      <w:pPr>
        <w:keepNext/>
        <w:ind w:firstLine="288"/>
        <w:jc w:val="both"/>
      </w:pPr>
      <w:r w:rsidRPr="00D30060">
        <w:rPr>
          <w:rFonts w:eastAsiaTheme="majorEastAsia" w:cs="Times New Roman"/>
          <w:color w:val="000000"/>
          <w:szCs w:val="20"/>
          <w:lang w:val="en-IN"/>
        </w:rPr>
        <w:t>Election phases are managed inside the contract itself, moving from registration to voting to a completed state. This avoids a mismatch between what the backend believes about an election and what the ledger records, because the contract is the single source of truth for the phase.</w:t>
      </w:r>
    </w:p>
    <w:p w14:paraId="7EB70621" w14:textId="77777777" w:rsidR="00C253C8" w:rsidRPr="00D30060" w:rsidRDefault="00C253C8" w:rsidP="00D30060">
      <w:pPr>
        <w:keepNext/>
        <w:ind w:firstLine="288"/>
        <w:jc w:val="both"/>
      </w:pPr>
      <w:r w:rsidRPr="00D30060">
        <w:rPr>
          <w:rFonts w:eastAsiaTheme="majorEastAsia" w:cs="Times New Roman"/>
          <w:color w:val="000000"/>
          <w:szCs w:val="20"/>
          <w:lang w:val="en-IN"/>
        </w:rPr>
        <w:t>Election and candidate metadata snapshots are stored through IPFS, candidate media is hosted on S3, and MongoDB Atlas stores operational data such as election metadata, voter status, and OTP tokens. Keeping them off the contract reduces the amount of data stored on-chain, but also means the off-chain services need their own access-control, availability, and retention policies.</w:t>
      </w:r>
    </w:p>
    <w:p w14:paraId="4E732523" w14:textId="77777777" w:rsidR="00C253C8" w:rsidRPr="00D30060" w:rsidRDefault="00C253C8" w:rsidP="00D30060">
      <w:pPr>
        <w:keepNext/>
        <w:ind w:firstLine="288"/>
        <w:jc w:val="both"/>
      </w:pPr>
      <w:r w:rsidRPr="00D30060">
        <w:rPr>
          <w:rFonts w:eastAsiaTheme="majorEastAsia" w:cs="Times New Roman"/>
          <w:color w:val="000000"/>
          <w:szCs w:val="20"/>
          <w:lang w:val="en-IN"/>
        </w:rPr>
        <w:t>The audit route is deliberately public. A voter who wants to confirm that a ballot was accepted can look up the transaction hash on the ledger without needing any access, which makes the tally independently checkable.</w:t>
      </w:r>
    </w:p>
    <w:p w14:paraId="32648103" w14:textId="77777777" w:rsidR="00F72D9E" w:rsidRPr="00C253C8" w:rsidRDefault="00000000">
      <w:pPr>
        <w:spacing w:before="200" w:after="80"/>
        <w:jc w:val="center"/>
      </w:pPr>
      <w:r w:rsidRPr="00C253C8">
        <w:rPr>
          <w:rFonts w:cs="Times New Roman"/>
          <w:b/>
          <w:color w:val="000000"/>
          <w:szCs w:val="20"/>
        </w:rPr>
        <w:t>IV. RESULTS AND DISCUSSIONS</w:t>
      </w:r>
    </w:p>
    <w:p w14:paraId="54B62D00" w14:textId="77777777" w:rsidR="00C253C8" w:rsidRPr="00D30060" w:rsidRDefault="00C253C8" w:rsidP="00D30060">
      <w:pPr>
        <w:keepNext/>
        <w:ind w:firstLine="288"/>
        <w:jc w:val="both"/>
      </w:pPr>
      <w:r w:rsidRPr="00D30060">
        <w:rPr>
          <w:rFonts w:eastAsiaTheme="majorEastAsia" w:cs="Times New Roman"/>
          <w:color w:val="000000"/>
          <w:szCs w:val="20"/>
          <w:lang w:val="en-IN"/>
        </w:rPr>
        <w:t xml:space="preserve">The evaluation uses two environments. Hardhat local RPC is used to measure contract and relayer behavior without public network propagation. Ethereum Sepolia is used as a public EVM testnet, where block inclusion introduces a more realistic delay. </w:t>
      </w:r>
      <w:r w:rsidRPr="00D30060">
        <w:rPr>
          <w:rFonts w:eastAsiaTheme="majorEastAsia" w:cs="Times New Roman"/>
          <w:color w:val="000000"/>
          <w:szCs w:val="20"/>
          <w:lang w:val="en-IN"/>
        </w:rPr>
        <w:lastRenderedPageBreak/>
        <w:t>The project report covers 500 simulated ballot submissions and a separate burst test with 50 simultaneous requests.</w:t>
      </w:r>
    </w:p>
    <w:p w14:paraId="6BE93BD4" w14:textId="77777777" w:rsidR="00C253C8" w:rsidRPr="00D30060" w:rsidRDefault="00C253C8" w:rsidP="00D30060">
      <w:pPr>
        <w:keepNext/>
        <w:ind w:firstLine="288"/>
        <w:jc w:val="both"/>
      </w:pPr>
      <w:r w:rsidRPr="00D30060">
        <w:rPr>
          <w:rFonts w:eastAsiaTheme="majorEastAsia" w:cs="Times New Roman"/>
          <w:color w:val="000000"/>
          <w:szCs w:val="20"/>
          <w:lang w:val="en-IN"/>
        </w:rPr>
        <w:t>The two environments answer different questions. A local network answers whether the contract logic and the relay queue behave correctly, while a public testnet answers whether the system works when transactions must be broadcast and included in real blocks. Both measurements were needed before the system could be described as working end to end.</w:t>
      </w:r>
    </w:p>
    <w:p w14:paraId="6DA92441" w14:textId="77777777" w:rsidR="00F72D9E" w:rsidRPr="00C253C8" w:rsidRDefault="00000000">
      <w:pPr>
        <w:keepNext/>
        <w:spacing w:before="120" w:after="120"/>
        <w:jc w:val="center"/>
      </w:pPr>
      <w:r w:rsidRPr="00C253C8">
        <w:rPr>
          <w:rFonts w:cs="Times New Roman"/>
          <w:color w:val="000000"/>
          <w:sz w:val="16"/>
          <w:szCs w:val="20"/>
        </w:rPr>
        <w:t>TABLE II. REPORTED PERFORMANCE RESULTS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2"/>
        <w:gridCol w:w="1644"/>
        <w:gridCol w:w="1651"/>
      </w:tblGrid>
      <w:tr w:rsidR="00F72D9E" w:rsidRPr="00C253C8" w14:paraId="0F86511F" w14:textId="77777777" w:rsidTr="00C253C8">
        <w:trPr>
          <w:jc w:val="center"/>
        </w:trPr>
        <w:tc>
          <w:tcPr>
            <w:tcW w:w="1532" w:type="dxa"/>
            <w:tcBorders>
              <w:top w:val="single" w:sz="4" w:space="0" w:color="888888"/>
              <w:left w:val="single" w:sz="4" w:space="0" w:color="888888"/>
              <w:bottom w:val="single" w:sz="4" w:space="0" w:color="888888"/>
              <w:right w:val="single" w:sz="4" w:space="0" w:color="888888"/>
            </w:tcBorders>
            <w:shd w:val="clear" w:color="auto" w:fill="D9EAF7"/>
          </w:tcPr>
          <w:p w14:paraId="0CE0D5B7" w14:textId="77777777" w:rsidR="00F72D9E" w:rsidRPr="00C253C8" w:rsidRDefault="00000000">
            <w:pPr>
              <w:spacing w:before="40" w:after="40"/>
              <w:rPr>
                <w:rFonts w:cs="Times New Roman"/>
                <w:color w:val="000000" w:themeColor="text1"/>
                <w:szCs w:val="20"/>
              </w:rPr>
            </w:pPr>
            <w:r w:rsidRPr="00C253C8">
              <w:rPr>
                <w:rFonts w:cs="Times New Roman"/>
                <w:b/>
                <w:color w:val="000000"/>
                <w:sz w:val="16"/>
                <w:szCs w:val="20"/>
              </w:rPr>
              <w:t>Metric</w:t>
            </w:r>
          </w:p>
        </w:tc>
        <w:tc>
          <w:tcPr>
            <w:tcW w:w="1644" w:type="dxa"/>
            <w:tcBorders>
              <w:top w:val="single" w:sz="4" w:space="0" w:color="888888"/>
              <w:left w:val="single" w:sz="4" w:space="0" w:color="888888"/>
              <w:bottom w:val="single" w:sz="4" w:space="0" w:color="888888"/>
              <w:right w:val="single" w:sz="4" w:space="0" w:color="888888"/>
            </w:tcBorders>
            <w:shd w:val="clear" w:color="auto" w:fill="D9EAF7"/>
          </w:tcPr>
          <w:p w14:paraId="287389F3" w14:textId="77777777" w:rsidR="00F72D9E" w:rsidRPr="00C253C8" w:rsidRDefault="00000000">
            <w:pPr>
              <w:spacing w:before="40" w:after="40"/>
              <w:rPr>
                <w:rFonts w:cs="Times New Roman"/>
                <w:color w:val="000000" w:themeColor="text1"/>
                <w:szCs w:val="20"/>
              </w:rPr>
            </w:pPr>
            <w:r w:rsidRPr="00C253C8">
              <w:rPr>
                <w:rFonts w:cs="Times New Roman"/>
                <w:b/>
                <w:color w:val="000000"/>
                <w:sz w:val="16"/>
                <w:szCs w:val="20"/>
              </w:rPr>
              <w:t>Reported value</w:t>
            </w:r>
          </w:p>
        </w:tc>
        <w:tc>
          <w:tcPr>
            <w:tcW w:w="1651" w:type="dxa"/>
            <w:tcBorders>
              <w:top w:val="single" w:sz="4" w:space="0" w:color="888888"/>
              <w:left w:val="single" w:sz="4" w:space="0" w:color="888888"/>
              <w:bottom w:val="single" w:sz="4" w:space="0" w:color="888888"/>
              <w:right w:val="single" w:sz="4" w:space="0" w:color="888888"/>
            </w:tcBorders>
            <w:shd w:val="clear" w:color="auto" w:fill="D9EAF7"/>
          </w:tcPr>
          <w:p w14:paraId="737FF927" w14:textId="77777777" w:rsidR="00F72D9E" w:rsidRPr="00C253C8" w:rsidRDefault="00000000">
            <w:pPr>
              <w:spacing w:before="40" w:after="40"/>
              <w:rPr>
                <w:rFonts w:cs="Times New Roman"/>
                <w:color w:val="000000" w:themeColor="text1"/>
                <w:szCs w:val="20"/>
              </w:rPr>
            </w:pPr>
            <w:r w:rsidRPr="00C253C8">
              <w:rPr>
                <w:rFonts w:cs="Times New Roman"/>
                <w:b/>
                <w:color w:val="000000"/>
                <w:sz w:val="16"/>
                <w:szCs w:val="20"/>
              </w:rPr>
              <w:t>Interpretation</w:t>
            </w:r>
          </w:p>
        </w:tc>
      </w:tr>
      <w:tr w:rsidR="00F72D9E" w:rsidRPr="00C253C8" w14:paraId="683112E8" w14:textId="77777777" w:rsidTr="00C253C8">
        <w:trPr>
          <w:jc w:val="center"/>
        </w:trPr>
        <w:tc>
          <w:tcPr>
            <w:tcW w:w="1532" w:type="dxa"/>
            <w:tcBorders>
              <w:top w:val="single" w:sz="4" w:space="0" w:color="888888"/>
              <w:left w:val="single" w:sz="4" w:space="0" w:color="888888"/>
              <w:bottom w:val="single" w:sz="4" w:space="0" w:color="888888"/>
              <w:right w:val="single" w:sz="4" w:space="0" w:color="888888"/>
            </w:tcBorders>
          </w:tcPr>
          <w:p w14:paraId="2EE2C0CB"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Local confirmation latency</w:t>
            </w:r>
          </w:p>
        </w:tc>
        <w:tc>
          <w:tcPr>
            <w:tcW w:w="1644" w:type="dxa"/>
            <w:tcBorders>
              <w:top w:val="single" w:sz="4" w:space="0" w:color="888888"/>
              <w:left w:val="single" w:sz="4" w:space="0" w:color="888888"/>
              <w:bottom w:val="single" w:sz="4" w:space="0" w:color="888888"/>
              <w:right w:val="single" w:sz="4" w:space="0" w:color="888888"/>
            </w:tcBorders>
          </w:tcPr>
          <w:p w14:paraId="4C0AFDDE"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1.82 s mean; 0.34 s S.D.</w:t>
            </w:r>
          </w:p>
        </w:tc>
        <w:tc>
          <w:tcPr>
            <w:tcW w:w="1651" w:type="dxa"/>
            <w:tcBorders>
              <w:top w:val="single" w:sz="4" w:space="0" w:color="888888"/>
              <w:left w:val="single" w:sz="4" w:space="0" w:color="888888"/>
              <w:bottom w:val="single" w:sz="4" w:space="0" w:color="888888"/>
              <w:right w:val="single" w:sz="4" w:space="0" w:color="888888"/>
            </w:tcBorders>
          </w:tcPr>
          <w:p w14:paraId="5CBA0A7C"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Prototype RPC responsiveness</w:t>
            </w:r>
          </w:p>
        </w:tc>
      </w:tr>
      <w:tr w:rsidR="00F72D9E" w:rsidRPr="00C253C8" w14:paraId="770523FB" w14:textId="77777777" w:rsidTr="00C253C8">
        <w:trPr>
          <w:jc w:val="center"/>
        </w:trPr>
        <w:tc>
          <w:tcPr>
            <w:tcW w:w="1532" w:type="dxa"/>
            <w:tcBorders>
              <w:top w:val="single" w:sz="4" w:space="0" w:color="888888"/>
              <w:left w:val="single" w:sz="4" w:space="0" w:color="888888"/>
              <w:bottom w:val="single" w:sz="4" w:space="0" w:color="888888"/>
              <w:right w:val="single" w:sz="4" w:space="0" w:color="888888"/>
            </w:tcBorders>
          </w:tcPr>
          <w:p w14:paraId="3DAF42A5"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Sepolia block inclusion</w:t>
            </w:r>
          </w:p>
        </w:tc>
        <w:tc>
          <w:tcPr>
            <w:tcW w:w="1644" w:type="dxa"/>
            <w:tcBorders>
              <w:top w:val="single" w:sz="4" w:space="0" w:color="888888"/>
              <w:left w:val="single" w:sz="4" w:space="0" w:color="888888"/>
              <w:bottom w:val="single" w:sz="4" w:space="0" w:color="888888"/>
              <w:right w:val="single" w:sz="4" w:space="0" w:color="888888"/>
            </w:tcBorders>
          </w:tcPr>
          <w:p w14:paraId="079C9128"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12.4 s mean; 2.8 s S.D.</w:t>
            </w:r>
          </w:p>
        </w:tc>
        <w:tc>
          <w:tcPr>
            <w:tcW w:w="1651" w:type="dxa"/>
            <w:tcBorders>
              <w:top w:val="single" w:sz="4" w:space="0" w:color="888888"/>
              <w:left w:val="single" w:sz="4" w:space="0" w:color="888888"/>
              <w:bottom w:val="single" w:sz="4" w:space="0" w:color="888888"/>
              <w:right w:val="single" w:sz="4" w:space="0" w:color="888888"/>
            </w:tcBorders>
          </w:tcPr>
          <w:p w14:paraId="1C795D83"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Public testnet confirmation delay</w:t>
            </w:r>
          </w:p>
        </w:tc>
      </w:tr>
      <w:tr w:rsidR="00F72D9E" w:rsidRPr="00C253C8" w14:paraId="3723919E" w14:textId="77777777" w:rsidTr="00C253C8">
        <w:trPr>
          <w:jc w:val="center"/>
        </w:trPr>
        <w:tc>
          <w:tcPr>
            <w:tcW w:w="1532" w:type="dxa"/>
            <w:tcBorders>
              <w:top w:val="single" w:sz="4" w:space="0" w:color="888888"/>
              <w:left w:val="single" w:sz="4" w:space="0" w:color="888888"/>
              <w:bottom w:val="single" w:sz="4" w:space="0" w:color="888888"/>
              <w:right w:val="single" w:sz="4" w:space="0" w:color="888888"/>
            </w:tcBorders>
          </w:tcPr>
          <w:p w14:paraId="1B4259A2"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Concurrent relay burst</w:t>
            </w:r>
          </w:p>
        </w:tc>
        <w:tc>
          <w:tcPr>
            <w:tcW w:w="1644" w:type="dxa"/>
            <w:tcBorders>
              <w:top w:val="single" w:sz="4" w:space="0" w:color="888888"/>
              <w:left w:val="single" w:sz="4" w:space="0" w:color="888888"/>
              <w:bottom w:val="single" w:sz="4" w:space="0" w:color="888888"/>
              <w:right w:val="single" w:sz="4" w:space="0" w:color="888888"/>
            </w:tcBorders>
          </w:tcPr>
          <w:p w14:paraId="5B7562A8"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50 simultaneous requests; 100% reported success</w:t>
            </w:r>
          </w:p>
        </w:tc>
        <w:tc>
          <w:tcPr>
            <w:tcW w:w="1651" w:type="dxa"/>
            <w:tcBorders>
              <w:top w:val="single" w:sz="4" w:space="0" w:color="888888"/>
              <w:left w:val="single" w:sz="4" w:space="0" w:color="888888"/>
              <w:bottom w:val="single" w:sz="4" w:space="0" w:color="888888"/>
              <w:right w:val="single" w:sz="4" w:space="0" w:color="888888"/>
            </w:tcBorders>
          </w:tcPr>
          <w:p w14:paraId="4156B9D2"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No nonce collisions or rejected replacements in the test</w:t>
            </w:r>
          </w:p>
        </w:tc>
      </w:tr>
      <w:tr w:rsidR="00F72D9E" w:rsidRPr="00C253C8" w14:paraId="1C49AF4D" w14:textId="77777777" w:rsidTr="00C253C8">
        <w:trPr>
          <w:jc w:val="center"/>
        </w:trPr>
        <w:tc>
          <w:tcPr>
            <w:tcW w:w="1532" w:type="dxa"/>
            <w:tcBorders>
              <w:top w:val="single" w:sz="4" w:space="0" w:color="888888"/>
              <w:left w:val="single" w:sz="4" w:space="0" w:color="888888"/>
              <w:bottom w:val="single" w:sz="4" w:space="0" w:color="888888"/>
              <w:right w:val="single" w:sz="4" w:space="0" w:color="888888"/>
            </w:tcBorders>
          </w:tcPr>
          <w:p w14:paraId="6A963C8D"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Ballot transaction gas</w:t>
            </w:r>
          </w:p>
        </w:tc>
        <w:tc>
          <w:tcPr>
            <w:tcW w:w="1644" w:type="dxa"/>
            <w:tcBorders>
              <w:top w:val="single" w:sz="4" w:space="0" w:color="888888"/>
              <w:left w:val="single" w:sz="4" w:space="0" w:color="888888"/>
              <w:bottom w:val="single" w:sz="4" w:space="0" w:color="888888"/>
              <w:right w:val="single" w:sz="4" w:space="0" w:color="888888"/>
            </w:tcBorders>
          </w:tcPr>
          <w:p w14:paraId="209DEB7B"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Approximately 47,000–58,000 gas</w:t>
            </w:r>
          </w:p>
        </w:tc>
        <w:tc>
          <w:tcPr>
            <w:tcW w:w="1651" w:type="dxa"/>
            <w:tcBorders>
              <w:top w:val="single" w:sz="4" w:space="0" w:color="888888"/>
              <w:left w:val="single" w:sz="4" w:space="0" w:color="888888"/>
              <w:bottom w:val="single" w:sz="4" w:space="0" w:color="888888"/>
              <w:right w:val="single" w:sz="4" w:space="0" w:color="888888"/>
            </w:tcBorders>
          </w:tcPr>
          <w:p w14:paraId="655F83A1"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Contract execution range reported for ballot submission</w:t>
            </w:r>
          </w:p>
        </w:tc>
      </w:tr>
      <w:tr w:rsidR="00F72D9E" w:rsidRPr="00C253C8" w14:paraId="61AD43DF" w14:textId="77777777" w:rsidTr="00C253C8">
        <w:trPr>
          <w:jc w:val="center"/>
        </w:trPr>
        <w:tc>
          <w:tcPr>
            <w:tcW w:w="1532" w:type="dxa"/>
            <w:tcBorders>
              <w:top w:val="single" w:sz="4" w:space="0" w:color="888888"/>
              <w:left w:val="single" w:sz="4" w:space="0" w:color="888888"/>
              <w:bottom w:val="single" w:sz="4" w:space="0" w:color="888888"/>
              <w:right w:val="single" w:sz="4" w:space="0" w:color="888888"/>
            </w:tcBorders>
          </w:tcPr>
          <w:p w14:paraId="51D6E175"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Evaluation volume</w:t>
            </w:r>
          </w:p>
        </w:tc>
        <w:tc>
          <w:tcPr>
            <w:tcW w:w="1644" w:type="dxa"/>
            <w:tcBorders>
              <w:top w:val="single" w:sz="4" w:space="0" w:color="888888"/>
              <w:left w:val="single" w:sz="4" w:space="0" w:color="888888"/>
              <w:bottom w:val="single" w:sz="4" w:space="0" w:color="888888"/>
              <w:right w:val="single" w:sz="4" w:space="0" w:color="888888"/>
            </w:tcBorders>
          </w:tcPr>
          <w:p w14:paraId="3B942018"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500 simulated ballot submissions</w:t>
            </w:r>
          </w:p>
        </w:tc>
        <w:tc>
          <w:tcPr>
            <w:tcW w:w="1651" w:type="dxa"/>
            <w:tcBorders>
              <w:top w:val="single" w:sz="4" w:space="0" w:color="888888"/>
              <w:left w:val="single" w:sz="4" w:space="0" w:color="888888"/>
              <w:bottom w:val="single" w:sz="4" w:space="0" w:color="888888"/>
              <w:right w:val="single" w:sz="4" w:space="0" w:color="888888"/>
            </w:tcBorders>
          </w:tcPr>
          <w:p w14:paraId="3CA00359"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Basis for latency and throughput observations</w:t>
            </w:r>
          </w:p>
        </w:tc>
      </w:tr>
      <w:tr w:rsidR="00F72D9E" w:rsidRPr="00C253C8" w14:paraId="0E491963" w14:textId="77777777" w:rsidTr="00C253C8">
        <w:trPr>
          <w:jc w:val="center"/>
        </w:trPr>
        <w:tc>
          <w:tcPr>
            <w:tcW w:w="1532" w:type="dxa"/>
            <w:tcBorders>
              <w:top w:val="single" w:sz="4" w:space="0" w:color="888888"/>
              <w:left w:val="single" w:sz="4" w:space="0" w:color="888888"/>
              <w:bottom w:val="single" w:sz="4" w:space="0" w:color="888888"/>
              <w:right w:val="single" w:sz="4" w:space="0" w:color="888888"/>
            </w:tcBorders>
          </w:tcPr>
          <w:p w14:paraId="4F11BA59"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Static spoofing test</w:t>
            </w:r>
          </w:p>
        </w:tc>
        <w:tc>
          <w:tcPr>
            <w:tcW w:w="1644" w:type="dxa"/>
            <w:tcBorders>
              <w:top w:val="single" w:sz="4" w:space="0" w:color="888888"/>
              <w:left w:val="single" w:sz="4" w:space="0" w:color="888888"/>
              <w:bottom w:val="single" w:sz="4" w:space="0" w:color="888888"/>
              <w:right w:val="single" w:sz="4" w:space="0" w:color="888888"/>
            </w:tcBorders>
          </w:tcPr>
          <w:p w14:paraId="7626B73B"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100% rejection reported for tested static 2D cases</w:t>
            </w:r>
          </w:p>
        </w:tc>
        <w:tc>
          <w:tcPr>
            <w:tcW w:w="1651" w:type="dxa"/>
            <w:tcBorders>
              <w:top w:val="single" w:sz="4" w:space="0" w:color="888888"/>
              <w:left w:val="single" w:sz="4" w:space="0" w:color="888888"/>
              <w:bottom w:val="single" w:sz="4" w:space="0" w:color="888888"/>
              <w:right w:val="single" w:sz="4" w:space="0" w:color="888888"/>
            </w:tcBorders>
          </w:tcPr>
          <w:p w14:paraId="4650368A" w14:textId="77777777" w:rsidR="00F72D9E" w:rsidRPr="00C253C8" w:rsidRDefault="00000000">
            <w:pPr>
              <w:spacing w:before="40" w:after="40"/>
              <w:rPr>
                <w:rFonts w:cs="Times New Roman"/>
                <w:color w:val="000000" w:themeColor="text1"/>
                <w:szCs w:val="20"/>
              </w:rPr>
            </w:pPr>
            <w:r w:rsidRPr="00C253C8">
              <w:rPr>
                <w:rFonts w:cs="Times New Roman"/>
                <w:color w:val="000000"/>
                <w:sz w:val="16"/>
                <w:szCs w:val="20"/>
              </w:rPr>
              <w:t>Scenario-specific liveness result, not universal PAD proof</w:t>
            </w:r>
          </w:p>
        </w:tc>
      </w:tr>
    </w:tbl>
    <w:p w14:paraId="255FA8DC" w14:textId="77777777" w:rsidR="00C253C8" w:rsidRPr="00D30060" w:rsidRDefault="00C253C8" w:rsidP="00D30060">
      <w:pPr>
        <w:ind w:firstLine="288"/>
        <w:jc w:val="both"/>
      </w:pPr>
      <w:r w:rsidRPr="00D30060">
        <w:rPr>
          <w:rFonts w:cs="Times New Roman"/>
          <w:color w:val="000000"/>
          <w:szCs w:val="20"/>
          <w:lang w:val="en-IN"/>
        </w:rPr>
        <w:t>The reported results demonstrate that the relay queue processed the tested concurrent requests without nonce collisions. The local and Sepolia measurements also highlight the difference in applicability between application responsiveness and blockchain confirmation. Gas sponsorship enhances the voter experience but also transfers the associated cost and risk of delay to the relayer operator.</w:t>
      </w:r>
    </w:p>
    <w:p w14:paraId="61DDB4BF" w14:textId="77777777" w:rsidR="00C253C8" w:rsidRPr="00D30060" w:rsidRDefault="00C253C8" w:rsidP="00D30060">
      <w:pPr>
        <w:ind w:firstLine="288"/>
        <w:jc w:val="both"/>
      </w:pPr>
      <w:r w:rsidRPr="00D30060">
        <w:rPr>
          <w:rFonts w:cs="Times New Roman"/>
          <w:color w:val="000000"/>
          <w:szCs w:val="20"/>
          <w:lang w:val="en-IN"/>
        </w:rPr>
        <w:t>The gas figures are also relevant to the election operator, as sponsoring every ballot ensures predictability in the cost-per-voter, within the reported range, enabling an intuitive budgeting for a complete election in a contrast with systems which require variable fees per voter.</w:t>
      </w:r>
    </w:p>
    <w:p w14:paraId="116BDF67" w14:textId="77777777" w:rsidR="00C253C8" w:rsidRPr="00D30060" w:rsidRDefault="00C253C8" w:rsidP="00D30060">
      <w:pPr>
        <w:ind w:firstLine="288"/>
        <w:jc w:val="both"/>
      </w:pPr>
      <w:r w:rsidRPr="00D30060">
        <w:rPr>
          <w:rFonts w:cs="Times New Roman"/>
          <w:color w:val="000000"/>
          <w:szCs w:val="20"/>
          <w:lang w:val="en-IN"/>
        </w:rPr>
        <w:t>The 100% rejection rate of the reported result applies to the static 2D spoofing cases used in the project test, and should not be interpreted as a general-purpose claim of biometric presentation-attack resistance. A more thorough report would include instrumentation details, participant demographics, device classes, false-accept and false-reject rates, and a test procedure amenable to reproduction.</w:t>
      </w:r>
    </w:p>
    <w:p w14:paraId="726627FD" w14:textId="77777777" w:rsidR="00C253C8" w:rsidRPr="00D30060" w:rsidRDefault="00C253C8" w:rsidP="00D30060">
      <w:pPr>
        <w:ind w:firstLine="288"/>
        <w:jc w:val="both"/>
      </w:pPr>
      <w:r w:rsidRPr="00D30060">
        <w:rPr>
          <w:rFonts w:cs="Times New Roman"/>
          <w:color w:val="000000"/>
          <w:szCs w:val="20"/>
          <w:lang w:val="en-IN"/>
        </w:rPr>
        <w:t>Biometric results of this kind are encouraging but limited in scope, demonstrating only that the tested attacks failed, rather than that all attacks fail. A production deployment would require a wider test campaign before the liveness component could be relied upon in a high-stakes setting.</w:t>
      </w:r>
    </w:p>
    <w:p w14:paraId="5419103E" w14:textId="77777777" w:rsidR="00F72D9E" w:rsidRPr="00C253C8" w:rsidRDefault="00000000">
      <w:pPr>
        <w:spacing w:before="160" w:after="80"/>
      </w:pPr>
      <w:r w:rsidRPr="00C253C8">
        <w:rPr>
          <w:rFonts w:cs="Times New Roman"/>
          <w:b/>
          <w:i/>
          <w:color w:val="000000"/>
          <w:szCs w:val="20"/>
        </w:rPr>
        <w:t>A. LIMITATIONS</w:t>
      </w:r>
    </w:p>
    <w:p w14:paraId="6090F3C3" w14:textId="77777777" w:rsidR="00C253C8" w:rsidRPr="00D30060" w:rsidRDefault="00C253C8" w:rsidP="00D30060">
      <w:pPr>
        <w:ind w:firstLine="288"/>
        <w:jc w:val="both"/>
      </w:pPr>
      <w:r w:rsidRPr="00D30060">
        <w:rPr>
          <w:rFonts w:cs="Times New Roman"/>
          <w:color w:val="000000"/>
          <w:szCs w:val="20"/>
          <w:lang w:val="en-IN"/>
        </w:rPr>
        <w:t xml:space="preserve">The central trade-off in BlockVote is one of trust, with voters not required to possess a wallet or gas tokens, but the backend and relayer becoming critical services which can delay a request, observe authentication-related metadata, or become </w:t>
      </w:r>
      <w:r w:rsidRPr="00D30060">
        <w:rPr>
          <w:rFonts w:cs="Times New Roman"/>
          <w:color w:val="000000"/>
          <w:szCs w:val="20"/>
          <w:lang w:val="en-IN"/>
        </w:rPr>
        <w:t>unavailable. While the nullifier prevents the direct publication of the email address, its linkability within the election and the assumption of the protection of the server secret remains a vulnerability. As timing information may allow the backend to associate an off-chain authentication event with a relay request, the prototype should only claim protection against a defined receipt-based coercion scenario, rather than universal coercion resistance.</w:t>
      </w:r>
    </w:p>
    <w:p w14:paraId="33E4667E" w14:textId="77777777" w:rsidR="00C253C8" w:rsidRPr="00D30060" w:rsidRDefault="00C253C8" w:rsidP="00D30060">
      <w:pPr>
        <w:ind w:firstLine="288"/>
        <w:jc w:val="both"/>
      </w:pPr>
      <w:r w:rsidRPr="00D30060">
        <w:rPr>
          <w:rFonts w:cs="Times New Roman"/>
          <w:color w:val="000000"/>
          <w:szCs w:val="20"/>
          <w:lang w:val="en-IN"/>
        </w:rPr>
        <w:t>Re-voting renders a simple vote receipt ineffective, but coercion resistance extends beyond the concealment of a candidate identifier within an event log. The interface, network traffic, device logs, backend logs, and the coercer’s ability to monitor the voter are also relevant considerations. In contrast, the nullifier design prevents the publication of email addresses on the ledger, but relies on the secrecy of the server secret. A leak of this secret would allow an adversary with knowledge of the roster to reconstruct the nullifier values and link them to ballots within the affected elections.</w:t>
      </w:r>
    </w:p>
    <w:p w14:paraId="5C3CC3C4" w14:textId="77777777" w:rsidR="00C253C8" w:rsidRPr="00D30060" w:rsidRDefault="00C253C8" w:rsidP="00D30060">
      <w:pPr>
        <w:ind w:firstLine="288"/>
        <w:jc w:val="both"/>
      </w:pPr>
      <w:r w:rsidRPr="00D30060">
        <w:rPr>
          <w:rFonts w:cs="Times New Roman"/>
          <w:color w:val="000000"/>
          <w:szCs w:val="20"/>
          <w:lang w:val="en-IN"/>
        </w:rPr>
        <w:t>The prototype also requires formal verification and testing in wider contexts, and the future work should consider the tally invariants, upgrade authorization, event-linkability, and behavior when relay requests are dropped or reordered. The project’s proposed next steps include client-side zero-knowledge biometric proofs, a Layer-2 deployment, and decentralized credentials, which would reduce the exposure to cloud platforms, reduce transaction cost, and eliminate the dependence on institutional email accounts.</w:t>
      </w:r>
    </w:p>
    <w:p w14:paraId="222F27CC" w14:textId="77777777" w:rsidR="00460F2E" w:rsidRDefault="00C253C8" w:rsidP="00460F2E">
      <w:pPr>
        <w:ind w:firstLine="288"/>
        <w:jc w:val="both"/>
      </w:pPr>
      <w:r w:rsidRPr="00D30060">
        <w:rPr>
          <w:rFonts w:cs="Times New Roman"/>
          <w:color w:val="000000"/>
          <w:szCs w:val="20"/>
          <w:lang w:val="en-IN"/>
        </w:rPr>
        <w:t>None of these limitations are specific to BlockVote, as they represent the costs inherent to building applications on a public ledger. The value of the prototype is that it makes these trade-offs explicit and testable, rather than hidden within an opaque platform.</w:t>
      </w:r>
      <w:r w:rsidR="00460F2E">
        <w:rPr>
          <w:rFonts w:cs="Times New Roman"/>
          <w:color w:val="000000"/>
          <w:szCs w:val="20"/>
          <w:lang w:val="en-IN"/>
        </w:rPr>
        <w:t xml:space="preserve">                                                                                                                      </w:t>
      </w:r>
    </w:p>
    <w:p w14:paraId="06167EAD" w14:textId="77777777" w:rsidR="00F72D9E" w:rsidRPr="00460F2E" w:rsidRDefault="00000000" w:rsidP="00460F2E">
      <w:pPr>
        <w:spacing w:before="200" w:after="80"/>
        <w:jc w:val="center"/>
      </w:pPr>
      <w:r w:rsidRPr="00C253C8">
        <w:rPr>
          <w:rFonts w:cs="Times New Roman"/>
          <w:b/>
          <w:color w:val="000000"/>
          <w:szCs w:val="20"/>
        </w:rPr>
        <w:t>V. CONCLUSION</w:t>
      </w:r>
    </w:p>
    <w:p w14:paraId="280663DA" w14:textId="77777777" w:rsidR="00C253C8" w:rsidRPr="00D30060" w:rsidRDefault="00C253C8" w:rsidP="00D30060">
      <w:pPr>
        <w:ind w:firstLine="288"/>
        <w:jc w:val="both"/>
      </w:pPr>
      <w:r w:rsidRPr="00D30060">
        <w:rPr>
          <w:rFonts w:cs="Times New Roman"/>
          <w:color w:val="000000"/>
          <w:szCs w:val="20"/>
          <w:lang w:val="en-IN"/>
        </w:rPr>
        <w:t>BlockVote is a hybrid decentralized e-voting prototype which utilizes gasless transaction relaying, salted Keccak-256 nullifiers, sensor-based liveness, blinded ballot events, re-voting, and 2-of-3 UUPS upgrade governance. The design removes voter-side gas payment, avoids the direct storage of a voter identifier in the contract state, introduces an explicit threshold for implementation upgrades, and allows a voter to change a ballot during the active voting period.</w:t>
      </w:r>
    </w:p>
    <w:p w14:paraId="18317418" w14:textId="77777777" w:rsidR="00C253C8" w:rsidRPr="00D30060" w:rsidRDefault="00C253C8" w:rsidP="00D30060">
      <w:pPr>
        <w:ind w:firstLine="288"/>
        <w:jc w:val="both"/>
      </w:pPr>
      <w:r w:rsidRPr="00D30060">
        <w:rPr>
          <w:rFonts w:cs="Times New Roman"/>
          <w:color w:val="000000"/>
          <w:szCs w:val="20"/>
          <w:lang w:val="en-IN"/>
        </w:rPr>
        <w:t>The project demonstrates that a hybrid design can eliminate the most common barriers without sacrificing the auditability which encourages adoption of blockchain voting in the first place. The combination of gasless relaying, sensor-based liveness, blinded ballots, re-voting, and threshold governance covers the failure modes of most relevance to organization-scale elections.</w:t>
      </w:r>
    </w:p>
    <w:p w14:paraId="3C3F84A7" w14:textId="77777777" w:rsidR="00C253C8" w:rsidRPr="00D30060" w:rsidRDefault="00C253C8" w:rsidP="00D30060">
      <w:pPr>
        <w:ind w:firstLine="288"/>
        <w:jc w:val="both"/>
      </w:pPr>
      <w:r w:rsidRPr="00D30060">
        <w:rPr>
          <w:rFonts w:cs="Times New Roman"/>
          <w:color w:val="000000"/>
          <w:szCs w:val="20"/>
          <w:lang w:val="en-IN"/>
        </w:rPr>
        <w:t>The reported Hardhat and Sepolia tests produced a 1.82 s mean local confirmation time, 12.4 s mean Sepolia inclusion time, approximately 47,000</w:t>
      </w:r>
      <w:r w:rsidR="00460F2E">
        <w:rPr>
          <w:rFonts w:cs="Times New Roman"/>
          <w:color w:val="000000"/>
          <w:szCs w:val="20"/>
          <w:lang w:val="en-IN"/>
        </w:rPr>
        <w:t>-</w:t>
      </w:r>
      <w:r w:rsidRPr="00D30060">
        <w:rPr>
          <w:rFonts w:cs="Times New Roman"/>
          <w:color w:val="000000"/>
          <w:szCs w:val="20"/>
          <w:lang w:val="en-IN"/>
        </w:rPr>
        <w:t xml:space="preserve">58,000 gas per ballot, and a successful processing of the tested 50-request burst, which supports the feasibility of the prototype but does not demonstrate readiness for a public election. Independent contract review, biometric evaluation, privacy analysis, </w:t>
      </w:r>
      <w:r w:rsidRPr="00D30060">
        <w:rPr>
          <w:rFonts w:cs="Times New Roman"/>
          <w:color w:val="000000"/>
          <w:szCs w:val="20"/>
          <w:lang w:val="en-IN"/>
        </w:rPr>
        <w:lastRenderedPageBreak/>
        <w:t>accessibility testing, and larger deployment experiments remain necessary.</w:t>
      </w:r>
    </w:p>
    <w:p w14:paraId="6BD0BC87" w14:textId="77777777" w:rsidR="00F72D9E" w:rsidRPr="00C253C8" w:rsidRDefault="00000000">
      <w:pPr>
        <w:spacing w:before="200" w:after="80"/>
        <w:jc w:val="center"/>
      </w:pPr>
      <w:r w:rsidRPr="00C253C8">
        <w:rPr>
          <w:rFonts w:cs="Times New Roman"/>
          <w:b/>
          <w:color w:val="000000"/>
          <w:szCs w:val="20"/>
        </w:rPr>
        <w:t>REFERENCES</w:t>
      </w:r>
    </w:p>
    <w:p w14:paraId="41DD7A48" w14:textId="77777777" w:rsidR="00F72D9E" w:rsidRPr="00C253C8" w:rsidRDefault="00000000">
      <w:pPr>
        <w:spacing w:after="40"/>
        <w:ind w:left="360" w:hanging="360"/>
        <w:jc w:val="both"/>
      </w:pPr>
      <w:r w:rsidRPr="00C253C8">
        <w:rPr>
          <w:rFonts w:cs="Times New Roman"/>
          <w:color w:val="000000"/>
          <w:sz w:val="16"/>
          <w:szCs w:val="20"/>
        </w:rPr>
        <w:t>[1] S. Saha, S. Barman, J. Dutta, S. Shaw, and A. Sinha, “A Secure and Transparent Blockchain driven E-Voting System using Smart Contract and IPFS-based Scalability,” in Proc. 2025 IEEE Guwahati Subsection Conference (GCON), 2025, doi: 10.1109/GCON65540.2025.11173301.</w:t>
      </w:r>
    </w:p>
    <w:p w14:paraId="68A90414" w14:textId="77777777" w:rsidR="00F72D9E" w:rsidRPr="00C253C8" w:rsidRDefault="00000000">
      <w:pPr>
        <w:spacing w:after="40"/>
        <w:ind w:left="360" w:hanging="360"/>
        <w:jc w:val="both"/>
      </w:pPr>
      <w:r w:rsidRPr="00C253C8">
        <w:rPr>
          <w:rFonts w:cs="Times New Roman"/>
          <w:color w:val="000000"/>
          <w:sz w:val="16"/>
          <w:szCs w:val="20"/>
        </w:rPr>
        <w:t>[2] M. Saim, M. Mamoon, I. Shah, and A. Samad, “E-Voting via Upgradable Smart Contracts on Blockchain,” in Proc. 2022 Int. Conf. on Futuristic Technologies (INCOFT), 2022, doi: 10.1109/INCOFT55651.2022.10094482.</w:t>
      </w:r>
    </w:p>
    <w:p w14:paraId="370E70FF" w14:textId="77777777" w:rsidR="00F72D9E" w:rsidRPr="00C253C8" w:rsidRDefault="00000000">
      <w:pPr>
        <w:spacing w:after="40"/>
        <w:ind w:left="360" w:hanging="360"/>
        <w:jc w:val="both"/>
      </w:pPr>
      <w:r w:rsidRPr="00C253C8">
        <w:rPr>
          <w:rFonts w:cs="Times New Roman"/>
          <w:color w:val="000000"/>
          <w:sz w:val="16"/>
          <w:szCs w:val="20"/>
        </w:rPr>
        <w:t>[3] W. A. B. W. Abdulah and S. F. S. Adnan, “Blockchain based Electronic Voting System Design with Smart Contracts,” in Proc. 2023 IEEE Symp. on Computers &amp; Informatics (ISCI), 2023, doi: 10.1109/ISCI58771.2023.10391913.</w:t>
      </w:r>
    </w:p>
    <w:p w14:paraId="4011B889" w14:textId="77777777" w:rsidR="00F72D9E" w:rsidRPr="00C253C8" w:rsidRDefault="00000000">
      <w:pPr>
        <w:spacing w:after="40"/>
        <w:ind w:left="360" w:hanging="360"/>
        <w:jc w:val="both"/>
      </w:pPr>
      <w:r w:rsidRPr="00C253C8">
        <w:rPr>
          <w:rFonts w:cs="Times New Roman"/>
          <w:color w:val="000000"/>
          <w:sz w:val="16"/>
          <w:szCs w:val="20"/>
        </w:rPr>
        <w:t>[4] S. Gnanapriya, M. R. Eshwar, C. G. Shrikhiran, J. V. Chandar, and V. Nandhakumar, “Secured Electronic voting system using Blockchain Technology,” in Proc. 2023 Int. Conf. on Research Methodologies in Knowledge Management, Artificial Intelligence and Telecommunication Engineering (RMKMATE), 2023, doi: 10.1109/RMKMATE59243.2023.10369326.</w:t>
      </w:r>
    </w:p>
    <w:p w14:paraId="02E127B4" w14:textId="77777777" w:rsidR="00F72D9E" w:rsidRPr="00C253C8" w:rsidRDefault="00000000">
      <w:pPr>
        <w:spacing w:after="40"/>
        <w:ind w:left="360" w:hanging="360"/>
        <w:jc w:val="both"/>
      </w:pPr>
      <w:r w:rsidRPr="00C253C8">
        <w:rPr>
          <w:rFonts w:cs="Times New Roman"/>
          <w:color w:val="000000"/>
          <w:sz w:val="16"/>
          <w:szCs w:val="20"/>
        </w:rPr>
        <w:t>[5] E. Beydili, U. C. Cabuk, G. Dalkilic, and Y. Ozturk, “Securing Blockchain-based E-Voting through Shamir’s Secret Sharing over Ethereum,” 2025.</w:t>
      </w:r>
    </w:p>
    <w:p w14:paraId="12BCE641" w14:textId="77777777" w:rsidR="00F72D9E" w:rsidRPr="00C253C8" w:rsidRDefault="00000000">
      <w:pPr>
        <w:spacing w:after="40"/>
        <w:ind w:left="360" w:hanging="360"/>
        <w:jc w:val="both"/>
      </w:pPr>
      <w:r w:rsidRPr="00C253C8">
        <w:rPr>
          <w:rFonts w:cs="Times New Roman"/>
          <w:color w:val="000000"/>
          <w:sz w:val="16"/>
          <w:szCs w:val="20"/>
        </w:rPr>
        <w:t>[6] H. Baniata and G. E. Caluña Chicaiza, “BP-Vot: Blockchain-Based e-Voting Using Smart Contracts, Differential Privacy, and Self-Sovereign Identities,” IEEE Access, vol. 13, 2025, doi: 10.1109/ACCESS.2025.3548404.</w:t>
      </w:r>
    </w:p>
    <w:p w14:paraId="73DA187D" w14:textId="77777777" w:rsidR="00F72D9E" w:rsidRPr="00C253C8" w:rsidRDefault="00000000">
      <w:pPr>
        <w:spacing w:after="40"/>
        <w:ind w:left="360" w:hanging="360"/>
        <w:jc w:val="both"/>
      </w:pPr>
      <w:r w:rsidRPr="00C253C8">
        <w:rPr>
          <w:rFonts w:cs="Times New Roman"/>
          <w:color w:val="000000"/>
          <w:sz w:val="16"/>
          <w:szCs w:val="20"/>
        </w:rPr>
        <w:t>[7] B. Sujatha, Y. Ganesh, N. Leelavathy, R. Tamilkodi, S. Venkatesh, B. Sandhya, and T. S. Kowshik, “Blockchain-Powered E-Voting: A Novel Approach to Secure Voter Authentication, Online Voting and Election Automation,” Indian Journal of Science and Technology, vol. 17, no. 47, pp. 4948–4958, 2024, doi: 10.17485/IJST/v17i47.3573.</w:t>
      </w:r>
    </w:p>
    <w:p w14:paraId="10EA7231" w14:textId="77777777" w:rsidR="00F72D9E" w:rsidRPr="00C253C8" w:rsidRDefault="00000000">
      <w:pPr>
        <w:spacing w:after="40"/>
        <w:ind w:left="360" w:hanging="360"/>
        <w:jc w:val="both"/>
      </w:pPr>
      <w:r w:rsidRPr="00C253C8">
        <w:rPr>
          <w:rFonts w:cs="Times New Roman"/>
          <w:color w:val="000000"/>
          <w:sz w:val="16"/>
          <w:szCs w:val="20"/>
        </w:rPr>
        <w:t>[8] I. Singh, A. Kaur, P. Agarwal, and S. M. Idrees, “Enhancing Security and Transparency in Online Voting through Blockchain Decentralization,” SN Computer Science, vol. 5, art. no. 921, 2024, doi: 10.1007/s42979-024-03286-2.</w:t>
      </w:r>
    </w:p>
    <w:p w14:paraId="0D2B822B" w14:textId="77777777" w:rsidR="00F72D9E" w:rsidRPr="00C253C8" w:rsidRDefault="00000000">
      <w:pPr>
        <w:spacing w:after="40"/>
        <w:ind w:left="360" w:hanging="360"/>
        <w:jc w:val="both"/>
      </w:pPr>
      <w:r w:rsidRPr="00C253C8">
        <w:rPr>
          <w:rFonts w:cs="Times New Roman"/>
          <w:color w:val="000000"/>
          <w:sz w:val="16"/>
          <w:szCs w:val="20"/>
        </w:rPr>
        <w:t>[9] G. Somasekhar, S. Jinka, C. K. Kanekal, and A. Marouthu, “Digital Voting with Blockchain us</w:t>
      </w:r>
      <w:r w:rsidR="00642986" w:rsidRPr="00C253C8">
        <w:rPr>
          <w:rFonts w:cs="Times New Roman"/>
          <w:color w:val="000000"/>
          <w:sz w:val="16"/>
          <w:szCs w:val="20"/>
        </w:rPr>
        <w:t>i</w:t>
      </w:r>
      <w:r w:rsidRPr="00C253C8">
        <w:rPr>
          <w:rFonts w:cs="Times New Roman"/>
          <w:color w:val="000000"/>
          <w:sz w:val="16"/>
          <w:szCs w:val="20"/>
        </w:rPr>
        <w:t>ng Interplanetary File System and Practical Byzantine Fault Tolerance,” Engineering, Technology &amp; Applied Science Research, vol. 14, no. 6, pp. 19009–19015, 2024, doi: 10.48084/etasr.8440.</w:t>
      </w:r>
    </w:p>
    <w:p w14:paraId="592D6038" w14:textId="77777777" w:rsidR="00F72D9E" w:rsidRPr="00C253C8" w:rsidRDefault="00000000">
      <w:pPr>
        <w:spacing w:after="40"/>
        <w:ind w:left="360" w:hanging="360"/>
        <w:jc w:val="both"/>
      </w:pPr>
      <w:r w:rsidRPr="00C253C8">
        <w:rPr>
          <w:rFonts w:cs="Times New Roman"/>
          <w:color w:val="000000"/>
          <w:sz w:val="16"/>
          <w:szCs w:val="20"/>
        </w:rPr>
        <w:t>[10] K. Kalaiselvi, K. Saravanan, S. M., T. Venkatesan, S. Ravi, and J. Karthi, “Unleashing Innovation: Experimental Evaluation of Blockchain Assisted Electronic Voting System using Secured Authentication Scheme,” in Proc. 2024 Int. Conf. on Intelligent Systems for Cybersecurity (ISCS), 2024, doi: 10.1109/ISCS61804.2024.10581204.</w:t>
      </w:r>
    </w:p>
    <w:p w14:paraId="3CD131D1" w14:textId="77777777" w:rsidR="00642986" w:rsidRPr="00C253C8" w:rsidRDefault="00642986" w:rsidP="00642986">
      <w:pPr>
        <w:spacing w:after="40"/>
        <w:ind w:left="360" w:hanging="360"/>
        <w:jc w:val="both"/>
      </w:pPr>
      <w:r w:rsidRPr="00C253C8">
        <w:rPr>
          <w:rFonts w:cs="Times New Roman"/>
          <w:color w:val="000000"/>
          <w:sz w:val="16"/>
          <w:szCs w:val="20"/>
          <w:lang w:val="en-IN"/>
        </w:rPr>
        <w:t>[11] S. T. Alvi, M. N. Uddin, L. Islam, and S. Ahamed, “Dvtchain: A</w:t>
      </w:r>
    </w:p>
    <w:p w14:paraId="4070E0DD" w14:textId="77777777" w:rsidR="00642986" w:rsidRPr="00C253C8" w:rsidRDefault="00642986" w:rsidP="00642986">
      <w:pPr>
        <w:spacing w:after="40"/>
        <w:ind w:left="360"/>
        <w:jc w:val="both"/>
      </w:pPr>
      <w:r w:rsidRPr="00C253C8">
        <w:rPr>
          <w:rFonts w:cs="Times New Roman"/>
          <w:color w:val="000000"/>
          <w:sz w:val="16"/>
          <w:szCs w:val="20"/>
          <w:lang w:val="en-IN"/>
        </w:rPr>
        <w:t>blockchain-based decentralized mechanism to ensure the security of</w:t>
      </w:r>
    </w:p>
    <w:p w14:paraId="456F5221" w14:textId="77777777" w:rsidR="00642986" w:rsidRPr="00C253C8" w:rsidRDefault="00642986" w:rsidP="00642986">
      <w:pPr>
        <w:spacing w:after="40"/>
        <w:ind w:left="360"/>
        <w:jc w:val="both"/>
      </w:pPr>
      <w:r w:rsidRPr="00C253C8">
        <w:rPr>
          <w:rFonts w:cs="Times New Roman"/>
          <w:color w:val="000000"/>
          <w:sz w:val="16"/>
          <w:szCs w:val="20"/>
          <w:lang w:val="en-IN"/>
        </w:rPr>
        <w:t>digital voting system,” Journal of King Saud University - Computer</w:t>
      </w:r>
    </w:p>
    <w:p w14:paraId="5AAE9FA4" w14:textId="77777777" w:rsidR="00642986" w:rsidRPr="00C253C8" w:rsidRDefault="00642986" w:rsidP="00642986">
      <w:pPr>
        <w:spacing w:after="40"/>
        <w:ind w:left="360"/>
        <w:jc w:val="both"/>
      </w:pPr>
      <w:r w:rsidRPr="00C253C8">
        <w:rPr>
          <w:rFonts w:cs="Times New Roman"/>
          <w:color w:val="000000"/>
          <w:sz w:val="16"/>
          <w:szCs w:val="20"/>
          <w:lang w:val="en-IN"/>
        </w:rPr>
        <w:t>and Information Sciences, vol. 34, no. 9, pp. 6855–6871, 2022.</w:t>
      </w:r>
    </w:p>
    <w:p w14:paraId="782F46BE" w14:textId="77777777" w:rsidR="00642986" w:rsidRPr="00C253C8" w:rsidRDefault="00642986" w:rsidP="00642986">
      <w:pPr>
        <w:spacing w:after="40"/>
        <w:ind w:left="360" w:hanging="360"/>
        <w:jc w:val="both"/>
      </w:pPr>
      <w:r w:rsidRPr="00C253C8">
        <w:rPr>
          <w:rFonts w:cs="Times New Roman"/>
          <w:color w:val="000000"/>
          <w:sz w:val="16"/>
          <w:szCs w:val="20"/>
          <w:lang w:val="en-IN"/>
        </w:rPr>
        <w:t>[12] A. M. Al-madani, A. T. Gaikwad, V. Mahale, and Z. A. T. Ahmed, “Decentralized</w:t>
      </w:r>
    </w:p>
    <w:p w14:paraId="48B9E401" w14:textId="77777777" w:rsidR="00642986" w:rsidRPr="00C253C8" w:rsidRDefault="00642986" w:rsidP="00642986">
      <w:pPr>
        <w:spacing w:after="40"/>
        <w:ind w:left="360"/>
        <w:jc w:val="both"/>
      </w:pPr>
      <w:r w:rsidRPr="00C253C8">
        <w:rPr>
          <w:rFonts w:cs="Times New Roman"/>
          <w:color w:val="000000"/>
          <w:sz w:val="16"/>
          <w:szCs w:val="20"/>
          <w:lang w:val="en-IN"/>
        </w:rPr>
        <w:t>e-voting system based on smart contract by using blockchain</w:t>
      </w:r>
    </w:p>
    <w:p w14:paraId="1E6CD34E" w14:textId="77777777" w:rsidR="00642986" w:rsidRPr="00C253C8" w:rsidRDefault="00642986" w:rsidP="00642986">
      <w:pPr>
        <w:spacing w:after="40"/>
        <w:ind w:left="360"/>
        <w:jc w:val="both"/>
      </w:pPr>
      <w:r w:rsidRPr="00C253C8">
        <w:rPr>
          <w:rFonts w:cs="Times New Roman"/>
          <w:color w:val="000000"/>
          <w:sz w:val="16"/>
          <w:szCs w:val="20"/>
          <w:lang w:val="en-IN"/>
        </w:rPr>
        <w:t>technology,” in 2020 International Conference on Smart Innovations</w:t>
      </w:r>
    </w:p>
    <w:p w14:paraId="4FF3221D" w14:textId="77777777" w:rsidR="00642986" w:rsidRPr="00C253C8" w:rsidRDefault="00642986" w:rsidP="00642986">
      <w:pPr>
        <w:spacing w:after="40"/>
        <w:ind w:left="360"/>
        <w:jc w:val="both"/>
      </w:pPr>
      <w:r w:rsidRPr="00C253C8">
        <w:rPr>
          <w:rFonts w:cs="Times New Roman"/>
          <w:color w:val="000000"/>
          <w:sz w:val="16"/>
          <w:szCs w:val="20"/>
          <w:lang w:val="en-IN"/>
        </w:rPr>
        <w:t>in Design, Environment, Management, Planning and Computing (ICSIDEMPC).</w:t>
      </w:r>
    </w:p>
    <w:p w14:paraId="3D709704" w14:textId="77777777" w:rsidR="00642986" w:rsidRPr="00C253C8" w:rsidRDefault="00642986" w:rsidP="00642986">
      <w:pPr>
        <w:spacing w:after="40"/>
        <w:ind w:left="360"/>
        <w:jc w:val="both"/>
      </w:pPr>
      <w:r w:rsidRPr="00C253C8">
        <w:rPr>
          <w:rFonts w:cs="Times New Roman"/>
          <w:color w:val="000000"/>
          <w:sz w:val="16"/>
          <w:szCs w:val="20"/>
          <w:lang w:val="en-IN"/>
        </w:rPr>
        <w:t>IEEE, 2020, pp. 176–180.</w:t>
      </w:r>
    </w:p>
    <w:p w14:paraId="235E3E2F" w14:textId="77777777" w:rsidR="00642986" w:rsidRPr="00C253C8" w:rsidRDefault="00642986" w:rsidP="00642986">
      <w:pPr>
        <w:spacing w:after="40"/>
        <w:ind w:left="360" w:hanging="360"/>
        <w:jc w:val="both"/>
      </w:pPr>
      <w:r w:rsidRPr="00C253C8">
        <w:rPr>
          <w:rFonts w:cs="Times New Roman"/>
          <w:color w:val="000000"/>
          <w:sz w:val="16"/>
          <w:szCs w:val="20"/>
          <w:lang w:val="en-IN"/>
        </w:rPr>
        <w:t>[13] Nir Kshetri and Jeffrey Voas. Blockchain-enabled e-voting. IEEE Software,</w:t>
      </w:r>
    </w:p>
    <w:p w14:paraId="718460B8" w14:textId="77777777" w:rsidR="00642986" w:rsidRPr="00C253C8" w:rsidRDefault="00642986" w:rsidP="00642986">
      <w:pPr>
        <w:spacing w:after="40"/>
        <w:ind w:left="360"/>
        <w:jc w:val="both"/>
      </w:pPr>
      <w:r w:rsidRPr="00C253C8">
        <w:rPr>
          <w:rFonts w:cs="Times New Roman"/>
          <w:color w:val="000000"/>
          <w:sz w:val="16"/>
          <w:szCs w:val="20"/>
          <w:lang w:val="en-IN"/>
        </w:rPr>
        <w:t>35(4):95–99, 2018.</w:t>
      </w:r>
    </w:p>
    <w:p w14:paraId="7E7F7644" w14:textId="77777777" w:rsidR="00642986" w:rsidRPr="00C253C8" w:rsidRDefault="00642986" w:rsidP="00642986">
      <w:pPr>
        <w:spacing w:after="40"/>
        <w:ind w:left="360" w:hanging="360"/>
        <w:jc w:val="both"/>
      </w:pPr>
      <w:r w:rsidRPr="00C253C8">
        <w:rPr>
          <w:rFonts w:cs="Times New Roman"/>
          <w:color w:val="000000"/>
          <w:sz w:val="16"/>
          <w:szCs w:val="20"/>
          <w:lang w:val="en-IN"/>
        </w:rPr>
        <w:t>[14] J. Deepika, S. Kalaiselvi, S. Mahalakshmi, and S. Agnes Shifani. Smart</w:t>
      </w:r>
    </w:p>
    <w:p w14:paraId="7AE8FF9E" w14:textId="77777777" w:rsidR="00642986" w:rsidRPr="00C253C8" w:rsidRDefault="00642986" w:rsidP="00642986">
      <w:pPr>
        <w:spacing w:after="40"/>
        <w:ind w:left="360"/>
        <w:jc w:val="both"/>
      </w:pPr>
      <w:r w:rsidRPr="00C253C8">
        <w:rPr>
          <w:rFonts w:cs="Times New Roman"/>
          <w:color w:val="000000"/>
          <w:sz w:val="16"/>
          <w:szCs w:val="20"/>
          <w:lang w:val="en-IN"/>
        </w:rPr>
        <w:t>electronic voting system based on biometric identification-survey. In</w:t>
      </w:r>
    </w:p>
    <w:p w14:paraId="57A34669" w14:textId="77777777" w:rsidR="00642986" w:rsidRPr="00C253C8" w:rsidRDefault="00642986" w:rsidP="00642986">
      <w:pPr>
        <w:spacing w:after="40"/>
        <w:ind w:left="360"/>
        <w:jc w:val="both"/>
      </w:pPr>
      <w:r w:rsidRPr="00C253C8">
        <w:rPr>
          <w:rFonts w:cs="Times New Roman"/>
          <w:color w:val="000000"/>
          <w:sz w:val="16"/>
          <w:szCs w:val="20"/>
          <w:lang w:val="en-IN"/>
        </w:rPr>
        <w:t>2017 Third International Conference on Science Technology Engineering</w:t>
      </w:r>
    </w:p>
    <w:p w14:paraId="2DD10748" w14:textId="77777777" w:rsidR="00642986" w:rsidRPr="00C253C8" w:rsidRDefault="00642986" w:rsidP="00642986">
      <w:pPr>
        <w:spacing w:after="40"/>
        <w:ind w:left="360"/>
        <w:jc w:val="both"/>
      </w:pPr>
      <w:r w:rsidRPr="00C253C8">
        <w:rPr>
          <w:rFonts w:cs="Times New Roman"/>
          <w:color w:val="000000"/>
          <w:sz w:val="16"/>
          <w:szCs w:val="20"/>
          <w:lang w:val="en-IN"/>
        </w:rPr>
        <w:t>Management (ICONSTEM), pages 939–942, 2017.</w:t>
      </w:r>
      <w:r w:rsidRPr="00C253C8">
        <w:rPr>
          <w:rFonts w:cs="Times New Roman"/>
          <w:color w:val="000000"/>
          <w:sz w:val="16"/>
          <w:szCs w:val="20"/>
        </w:rPr>
        <w:t xml:space="preserve"> </w:t>
      </w:r>
    </w:p>
    <w:p w14:paraId="47112687" w14:textId="77777777" w:rsidR="00642986" w:rsidRPr="00C253C8" w:rsidRDefault="00642986" w:rsidP="00642986">
      <w:pPr>
        <w:spacing w:after="40"/>
        <w:ind w:left="360" w:hanging="360"/>
        <w:jc w:val="both"/>
      </w:pPr>
      <w:r w:rsidRPr="00C253C8">
        <w:rPr>
          <w:rFonts w:cs="Times New Roman"/>
          <w:color w:val="000000"/>
          <w:sz w:val="16"/>
          <w:szCs w:val="20"/>
          <w:lang w:val="en-IN"/>
        </w:rPr>
        <w:t>[15] H. te Wu and C. Y. Yang, “A blockchain-based network security</w:t>
      </w:r>
    </w:p>
    <w:p w14:paraId="77FFECEB" w14:textId="77777777" w:rsidR="00642986" w:rsidRPr="00C253C8" w:rsidRDefault="00642986" w:rsidP="00642986">
      <w:pPr>
        <w:spacing w:after="40"/>
        <w:ind w:left="360"/>
        <w:jc w:val="both"/>
      </w:pPr>
      <w:r w:rsidRPr="00C253C8">
        <w:rPr>
          <w:rFonts w:cs="Times New Roman"/>
          <w:color w:val="000000"/>
          <w:sz w:val="16"/>
          <w:szCs w:val="20"/>
          <w:lang w:val="en-IN"/>
        </w:rPr>
        <w:t>mechanism for voting systems,” in Proceedings - 2018 1st International</w:t>
      </w:r>
    </w:p>
    <w:p w14:paraId="3030F872" w14:textId="77777777" w:rsidR="00642986" w:rsidRPr="00C253C8" w:rsidRDefault="00642986" w:rsidP="00642986">
      <w:pPr>
        <w:spacing w:after="40"/>
        <w:ind w:left="360"/>
        <w:jc w:val="both"/>
      </w:pPr>
      <w:r w:rsidRPr="00C253C8">
        <w:rPr>
          <w:rFonts w:cs="Times New Roman"/>
          <w:color w:val="000000"/>
          <w:sz w:val="16"/>
          <w:szCs w:val="20"/>
          <w:lang w:val="en-IN"/>
        </w:rPr>
        <w:t>Cognitive Cities Conference, IC3 2018, Dec. 2018, pp. 227–230. doi:</w:t>
      </w:r>
    </w:p>
    <w:p w14:paraId="61B7F7AB" w14:textId="77777777" w:rsidR="00642986" w:rsidRPr="00C253C8" w:rsidRDefault="00642986" w:rsidP="00642986">
      <w:pPr>
        <w:spacing w:after="40"/>
        <w:ind w:left="360"/>
        <w:jc w:val="both"/>
      </w:pPr>
      <w:r w:rsidRPr="00C253C8">
        <w:rPr>
          <w:rFonts w:cs="Times New Roman"/>
          <w:color w:val="000000"/>
          <w:sz w:val="16"/>
          <w:szCs w:val="20"/>
          <w:lang w:val="en-IN"/>
        </w:rPr>
        <w:t>10.1109/IC3.2018.00-15.</w:t>
      </w:r>
    </w:p>
    <w:p w14:paraId="69A5352F" w14:textId="77777777" w:rsidR="00642986" w:rsidRPr="00C253C8" w:rsidRDefault="00642986" w:rsidP="00642986">
      <w:pPr>
        <w:spacing w:after="40"/>
        <w:ind w:left="360" w:hanging="360"/>
        <w:jc w:val="both"/>
      </w:pPr>
      <w:r w:rsidRPr="00C253C8">
        <w:rPr>
          <w:rFonts w:cs="Times New Roman"/>
          <w:color w:val="000000"/>
          <w:sz w:val="16"/>
          <w:szCs w:val="20"/>
          <w:lang w:val="en-IN"/>
        </w:rPr>
        <w:t>[16] T. Luo, “An Efficient Blockchain Based Electronic Voting System</w:t>
      </w:r>
    </w:p>
    <w:p w14:paraId="01F632A8" w14:textId="77777777" w:rsidR="00642986" w:rsidRPr="00C253C8" w:rsidRDefault="00642986" w:rsidP="00642986">
      <w:pPr>
        <w:spacing w:after="40"/>
        <w:ind w:left="360"/>
        <w:jc w:val="both"/>
      </w:pPr>
      <w:r w:rsidRPr="00C253C8">
        <w:rPr>
          <w:rFonts w:cs="Times New Roman"/>
          <w:color w:val="000000"/>
          <w:sz w:val="16"/>
          <w:szCs w:val="20"/>
          <w:lang w:val="en-IN"/>
        </w:rPr>
        <w:t>Using Proxy Multi-signature,” in 2021 3rd International Academic</w:t>
      </w:r>
    </w:p>
    <w:p w14:paraId="5D01FDB1" w14:textId="77777777" w:rsidR="00642986" w:rsidRPr="00C253C8" w:rsidRDefault="00642986" w:rsidP="00642986">
      <w:pPr>
        <w:spacing w:after="40"/>
        <w:ind w:left="360"/>
        <w:jc w:val="both"/>
      </w:pPr>
      <w:r w:rsidRPr="00C253C8">
        <w:rPr>
          <w:rFonts w:cs="Times New Roman"/>
          <w:color w:val="000000"/>
          <w:sz w:val="16"/>
          <w:szCs w:val="20"/>
          <w:lang w:val="en-IN"/>
        </w:rPr>
        <w:t>Exchange Conference on Science and Technology Innovation,</w:t>
      </w:r>
    </w:p>
    <w:p w14:paraId="306E6504" w14:textId="77777777" w:rsidR="00642986" w:rsidRPr="00C253C8" w:rsidRDefault="00642986" w:rsidP="00642986">
      <w:pPr>
        <w:spacing w:after="40"/>
        <w:ind w:left="360"/>
        <w:jc w:val="both"/>
      </w:pPr>
      <w:r w:rsidRPr="00C253C8">
        <w:rPr>
          <w:rFonts w:cs="Times New Roman"/>
          <w:color w:val="000000"/>
          <w:sz w:val="16"/>
          <w:szCs w:val="20"/>
          <w:lang w:val="en-IN"/>
        </w:rPr>
        <w:t>IAECST 2021, 2021, pp. 513–516. doi:</w:t>
      </w:r>
    </w:p>
    <w:p w14:paraId="162622A6" w14:textId="77777777" w:rsidR="00642986" w:rsidRPr="00C253C8" w:rsidRDefault="00642986" w:rsidP="00642986">
      <w:pPr>
        <w:spacing w:after="40"/>
        <w:ind w:left="360"/>
        <w:jc w:val="both"/>
      </w:pPr>
      <w:r w:rsidRPr="00C253C8">
        <w:rPr>
          <w:rFonts w:cs="Times New Roman"/>
          <w:color w:val="000000"/>
          <w:sz w:val="16"/>
          <w:szCs w:val="20"/>
          <w:lang w:val="en-IN"/>
        </w:rPr>
        <w:t>10.1109/IAECST54258.2021.9695917.</w:t>
      </w:r>
    </w:p>
    <w:p w14:paraId="500BE5C3" w14:textId="77777777" w:rsidR="00642986" w:rsidRPr="00C253C8" w:rsidRDefault="00642986" w:rsidP="00642986">
      <w:pPr>
        <w:spacing w:after="40"/>
        <w:ind w:left="360" w:hanging="360"/>
        <w:jc w:val="both"/>
      </w:pPr>
      <w:r w:rsidRPr="00C253C8">
        <w:rPr>
          <w:rFonts w:cs="Times New Roman"/>
          <w:color w:val="000000"/>
          <w:sz w:val="16"/>
          <w:szCs w:val="20"/>
          <w:lang w:val="en-IN"/>
        </w:rPr>
        <w:t>[17] Somnath Panja, et al., (2021), "A secure end-to-end verifiable e-voting</w:t>
      </w:r>
    </w:p>
    <w:p w14:paraId="737A512A" w14:textId="77777777" w:rsidR="00642986" w:rsidRPr="00C253C8" w:rsidRDefault="00642986" w:rsidP="00642986">
      <w:pPr>
        <w:spacing w:after="40"/>
        <w:ind w:left="360"/>
        <w:jc w:val="both"/>
      </w:pPr>
      <w:r w:rsidRPr="00C253C8">
        <w:rPr>
          <w:rFonts w:cs="Times New Roman"/>
          <w:color w:val="000000"/>
          <w:sz w:val="16"/>
          <w:szCs w:val="20"/>
          <w:lang w:val="en-IN"/>
        </w:rPr>
        <w:t>system using blockchain and cloud server", JISA, Volume 59, 102815,</w:t>
      </w:r>
    </w:p>
    <w:p w14:paraId="3688A49B" w14:textId="77777777" w:rsidR="00642986" w:rsidRPr="00C253C8" w:rsidRDefault="00642986" w:rsidP="00642986">
      <w:pPr>
        <w:spacing w:after="40"/>
        <w:ind w:left="360"/>
        <w:jc w:val="both"/>
      </w:pPr>
      <w:r w:rsidRPr="00C253C8">
        <w:rPr>
          <w:rFonts w:cs="Times New Roman"/>
          <w:color w:val="000000"/>
          <w:sz w:val="16"/>
          <w:szCs w:val="20"/>
          <w:lang w:val="en-IN"/>
        </w:rPr>
        <w:t>ISSN 2214-2126, DOI: 10.1016/j.jisa.2021.102815</w:t>
      </w:r>
    </w:p>
    <w:p w14:paraId="331F9AF6" w14:textId="77777777" w:rsidR="00B4535E" w:rsidRPr="00C253C8" w:rsidRDefault="00B4535E" w:rsidP="00B4535E">
      <w:pPr>
        <w:spacing w:after="40"/>
        <w:ind w:left="360" w:hanging="360"/>
        <w:jc w:val="both"/>
      </w:pPr>
      <w:r w:rsidRPr="00C253C8">
        <w:rPr>
          <w:rFonts w:cs="Times New Roman"/>
          <w:color w:val="000000"/>
          <w:sz w:val="16"/>
          <w:szCs w:val="20"/>
          <w:lang w:val="en-IN"/>
        </w:rPr>
        <w:t>[18] A. Parmar, S. Gada, T. Loke, Y. Jain, S. Pathak, and S. Patil, "Secure EVoting</w:t>
      </w:r>
    </w:p>
    <w:p w14:paraId="5E88A23D" w14:textId="77777777" w:rsidR="00B4535E" w:rsidRPr="00C253C8" w:rsidRDefault="00B4535E" w:rsidP="00B4535E">
      <w:pPr>
        <w:spacing w:after="40"/>
        <w:ind w:left="360"/>
        <w:jc w:val="both"/>
      </w:pPr>
      <w:r w:rsidRPr="00C253C8">
        <w:rPr>
          <w:rFonts w:cs="Times New Roman"/>
          <w:color w:val="000000"/>
          <w:sz w:val="16"/>
          <w:szCs w:val="20"/>
          <w:lang w:val="en-IN"/>
        </w:rPr>
        <w:t>System using Blockchain technology and authentication via Face</w:t>
      </w:r>
    </w:p>
    <w:p w14:paraId="3AC4D3F4" w14:textId="77777777" w:rsidR="00B4535E" w:rsidRPr="00C253C8" w:rsidRDefault="00B4535E" w:rsidP="00B4535E">
      <w:pPr>
        <w:spacing w:after="40"/>
        <w:ind w:left="360"/>
        <w:jc w:val="both"/>
      </w:pPr>
      <w:r w:rsidRPr="00C253C8">
        <w:rPr>
          <w:rFonts w:cs="Times New Roman"/>
          <w:color w:val="000000"/>
          <w:sz w:val="16"/>
          <w:szCs w:val="20"/>
          <w:lang w:val="en-IN"/>
        </w:rPr>
        <w:t xml:space="preserve">recognition and Mobile OTP," in </w:t>
      </w:r>
      <w:r w:rsidRPr="00C253C8">
        <w:rPr>
          <w:rFonts w:cs="Times New Roman"/>
          <w:iCs/>
          <w:color w:val="000000"/>
          <w:sz w:val="16"/>
          <w:szCs w:val="20"/>
          <w:lang w:val="en-IN"/>
        </w:rPr>
        <w:t>2021 12th International Conference on</w:t>
      </w:r>
    </w:p>
    <w:p w14:paraId="2C0410A8" w14:textId="77777777" w:rsidR="00B4535E" w:rsidRPr="00C253C8" w:rsidRDefault="00B4535E" w:rsidP="00B4535E">
      <w:pPr>
        <w:spacing w:after="40"/>
        <w:ind w:left="360"/>
        <w:jc w:val="both"/>
      </w:pPr>
      <w:r w:rsidRPr="00C253C8">
        <w:rPr>
          <w:rFonts w:cs="Times New Roman"/>
          <w:iCs/>
          <w:color w:val="000000"/>
          <w:sz w:val="16"/>
          <w:szCs w:val="20"/>
          <w:lang w:val="en-IN"/>
        </w:rPr>
        <w:t>Computing Communication and Networking Technologies (ICCCNT)</w:t>
      </w:r>
      <w:r w:rsidRPr="00C253C8">
        <w:rPr>
          <w:rFonts w:cs="Times New Roman"/>
          <w:color w:val="000000"/>
          <w:sz w:val="16"/>
          <w:szCs w:val="20"/>
          <w:lang w:val="en-IN"/>
        </w:rPr>
        <w:t>,</w:t>
      </w:r>
    </w:p>
    <w:p w14:paraId="32FFCEC7" w14:textId="77777777" w:rsidR="00B4535E" w:rsidRPr="00C253C8" w:rsidRDefault="00B4535E" w:rsidP="00B4535E">
      <w:pPr>
        <w:spacing w:after="40"/>
        <w:ind w:left="360"/>
        <w:jc w:val="both"/>
      </w:pPr>
      <w:r w:rsidRPr="00C253C8">
        <w:rPr>
          <w:rFonts w:cs="Times New Roman"/>
          <w:color w:val="000000"/>
          <w:sz w:val="16"/>
          <w:szCs w:val="20"/>
          <w:lang w:val="en-IN"/>
        </w:rPr>
        <w:t>Kharagpur, India, Jul. 2021, pp. 1–5, https://doi.org/10.1109/</w:t>
      </w:r>
    </w:p>
    <w:p w14:paraId="1AAC88A7" w14:textId="77777777" w:rsidR="00B4535E" w:rsidRPr="00C253C8" w:rsidRDefault="00B4535E" w:rsidP="00B4535E">
      <w:pPr>
        <w:spacing w:after="40"/>
        <w:ind w:left="360"/>
        <w:jc w:val="both"/>
      </w:pPr>
      <w:r w:rsidRPr="00C253C8">
        <w:rPr>
          <w:rFonts w:cs="Times New Roman"/>
          <w:color w:val="000000"/>
          <w:sz w:val="16"/>
          <w:szCs w:val="20"/>
          <w:lang w:val="en-IN"/>
        </w:rPr>
        <w:t>ICCCNT51525.2021.9580147.</w:t>
      </w:r>
    </w:p>
    <w:p w14:paraId="680338C5" w14:textId="77777777" w:rsidR="00B4535E" w:rsidRPr="00C253C8" w:rsidRDefault="00B4535E" w:rsidP="00B4535E">
      <w:pPr>
        <w:spacing w:after="40"/>
        <w:ind w:left="360" w:hanging="360"/>
        <w:jc w:val="both"/>
      </w:pPr>
      <w:r w:rsidRPr="00C253C8">
        <w:rPr>
          <w:rFonts w:cs="Times New Roman"/>
          <w:color w:val="000000"/>
          <w:sz w:val="16"/>
          <w:szCs w:val="20"/>
          <w:lang w:val="en-IN"/>
        </w:rPr>
        <w:t xml:space="preserve">[19] Chavan A, Jadhav A. Revolutionizing Voting: Blockchain-Powered E-Voting with Solana. </w:t>
      </w:r>
      <w:r w:rsidRPr="00C253C8">
        <w:rPr>
          <w:rFonts w:cs="Times New Roman"/>
          <w:iCs/>
          <w:color w:val="000000"/>
          <w:sz w:val="16"/>
          <w:szCs w:val="20"/>
          <w:lang w:val="en-IN"/>
        </w:rPr>
        <w:t>1st International Conference on Trends in Engineering Systems</w:t>
      </w:r>
    </w:p>
    <w:p w14:paraId="5EA5D00E" w14:textId="77777777" w:rsidR="00B4535E" w:rsidRPr="00C253C8" w:rsidRDefault="00B4535E" w:rsidP="00B4535E">
      <w:pPr>
        <w:spacing w:after="40"/>
        <w:ind w:left="360"/>
        <w:jc w:val="both"/>
      </w:pPr>
      <w:r w:rsidRPr="00C253C8">
        <w:rPr>
          <w:rFonts w:cs="Times New Roman"/>
          <w:iCs/>
          <w:color w:val="000000"/>
          <w:sz w:val="16"/>
          <w:szCs w:val="20"/>
          <w:lang w:val="en-IN"/>
        </w:rPr>
        <w:t>and Technologies (ICTEST)</w:t>
      </w:r>
      <w:r w:rsidRPr="00C253C8">
        <w:rPr>
          <w:rFonts w:cs="Times New Roman"/>
          <w:color w:val="000000"/>
          <w:sz w:val="16"/>
          <w:szCs w:val="20"/>
          <w:lang w:val="en-IN"/>
        </w:rPr>
        <w:t>. 2024. Available from: https://ieeexplore.ieee.org/abstract/document/10576075.</w:t>
      </w:r>
    </w:p>
    <w:p w14:paraId="1A2B97E8" w14:textId="77777777" w:rsidR="00B4535E" w:rsidRPr="00C253C8" w:rsidRDefault="00B4535E" w:rsidP="00B4535E">
      <w:pPr>
        <w:spacing w:after="40"/>
        <w:ind w:left="360" w:hanging="360"/>
        <w:jc w:val="both"/>
      </w:pPr>
      <w:r w:rsidRPr="00C253C8">
        <w:rPr>
          <w:rFonts w:cs="Times New Roman"/>
          <w:color w:val="000000"/>
          <w:sz w:val="16"/>
          <w:szCs w:val="20"/>
          <w:lang w:val="en-IN"/>
        </w:rPr>
        <w:t>[20] Faruk MJH, Islam M, Alam F, Shahriar H, Rahman A. Bie vote: A biometric identification enabled blockchain-based secure and transparent voting</w:t>
      </w:r>
    </w:p>
    <w:p w14:paraId="156F6B90" w14:textId="77777777" w:rsidR="00B4535E" w:rsidRPr="00C253C8" w:rsidRDefault="00B4535E" w:rsidP="00B4535E">
      <w:pPr>
        <w:spacing w:after="40"/>
        <w:ind w:left="360"/>
        <w:jc w:val="both"/>
      </w:pPr>
      <w:r w:rsidRPr="00C253C8">
        <w:rPr>
          <w:rFonts w:cs="Times New Roman"/>
          <w:color w:val="000000"/>
          <w:sz w:val="16"/>
          <w:szCs w:val="20"/>
          <w:lang w:val="en-IN"/>
        </w:rPr>
        <w:t xml:space="preserve">framework. </w:t>
      </w:r>
      <w:r w:rsidRPr="00C253C8">
        <w:rPr>
          <w:rFonts w:cs="Times New Roman"/>
          <w:iCs/>
          <w:color w:val="000000"/>
          <w:sz w:val="16"/>
          <w:szCs w:val="20"/>
          <w:lang w:val="en-IN"/>
        </w:rPr>
        <w:t>Fourth International Conference on Blockchain Computing and Applications (BCCA)</w:t>
      </w:r>
      <w:r w:rsidRPr="00C253C8">
        <w:rPr>
          <w:rFonts w:cs="Times New Roman"/>
          <w:color w:val="000000"/>
          <w:sz w:val="16"/>
          <w:szCs w:val="20"/>
          <w:lang w:val="en-IN"/>
        </w:rPr>
        <w:t>. 2022;p. 253–258. Available from: https://doi.org/10.</w:t>
      </w:r>
    </w:p>
    <w:p w14:paraId="6E7E2357" w14:textId="77777777" w:rsidR="00642986" w:rsidRPr="00C253C8" w:rsidRDefault="00B4535E" w:rsidP="00B4535E">
      <w:pPr>
        <w:spacing w:after="40"/>
        <w:ind w:left="360"/>
        <w:jc w:val="both"/>
      </w:pPr>
      <w:r w:rsidRPr="00C253C8">
        <w:rPr>
          <w:rFonts w:cs="Times New Roman"/>
          <w:color w:val="000000"/>
          <w:sz w:val="16"/>
          <w:szCs w:val="20"/>
          <w:lang w:val="en-IN"/>
        </w:rPr>
        <w:t>1109/BCCA55292.2022.9922588].</w:t>
      </w:r>
    </w:p>
    <w:sectPr w:rsidR="00642986" w:rsidRPr="00C253C8" w:rsidSect="00034616">
      <w:type w:val="continuous"/>
      <w:pgSz w:w="12240" w:h="15840"/>
      <w:pgMar w:top="1080" w:right="900" w:bottom="1440" w:left="900" w:header="720" w:footer="720" w:gutter="0"/>
      <w:cols w:num="2"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D9990" w14:textId="77777777" w:rsidR="00500D11" w:rsidRDefault="00500D11">
      <w:r>
        <w:separator/>
      </w:r>
    </w:p>
  </w:endnote>
  <w:endnote w:type="continuationSeparator" w:id="0">
    <w:p w14:paraId="0E326DD9" w14:textId="77777777" w:rsidR="00500D11" w:rsidRDefault="00500D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F0A39" w14:textId="77777777" w:rsidR="00F72D9E" w:rsidRDefault="00000000">
    <w:pPr>
      <w:pStyle w:val="Footer"/>
      <w:jc w:val="center"/>
    </w:pPr>
    <w:r>
      <w:rPr>
        <w:sz w:val="16"/>
      </w:rPr>
      <w:fldChar w:fldCharType="begin"/>
    </w:r>
    <w:r>
      <w:rPr>
        <w:sz w:val="16"/>
      </w:rPr>
      <w:instrText xml:space="preserve"> PAGE </w:instrText>
    </w:r>
    <w:r>
      <w:rPr>
        <w:sz w:val="16"/>
      </w:rPr>
      <w:fldChar w:fldCharType="separate"/>
    </w:r>
    <w:r w:rsidR="00642986">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644D5" w14:textId="77777777" w:rsidR="00500D11" w:rsidRDefault="00500D11">
      <w:r>
        <w:separator/>
      </w:r>
    </w:p>
  </w:footnote>
  <w:footnote w:type="continuationSeparator" w:id="0">
    <w:p w14:paraId="02A8F443" w14:textId="77777777" w:rsidR="00500D11" w:rsidRDefault="00500D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2377879">
    <w:abstractNumId w:val="8"/>
  </w:num>
  <w:num w:numId="2" w16cid:durableId="1692992183">
    <w:abstractNumId w:val="6"/>
  </w:num>
  <w:num w:numId="3" w16cid:durableId="1369723400">
    <w:abstractNumId w:val="5"/>
  </w:num>
  <w:num w:numId="4" w16cid:durableId="330523985">
    <w:abstractNumId w:val="4"/>
  </w:num>
  <w:num w:numId="5" w16cid:durableId="1677875703">
    <w:abstractNumId w:val="7"/>
  </w:num>
  <w:num w:numId="6" w16cid:durableId="493568473">
    <w:abstractNumId w:val="3"/>
  </w:num>
  <w:num w:numId="7" w16cid:durableId="508564224">
    <w:abstractNumId w:val="2"/>
  </w:num>
  <w:num w:numId="8" w16cid:durableId="1992057557">
    <w:abstractNumId w:val="1"/>
  </w:num>
  <w:num w:numId="9" w16cid:durableId="1212696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7FC6"/>
    <w:rsid w:val="002378B7"/>
    <w:rsid w:val="00287F90"/>
    <w:rsid w:val="0029639D"/>
    <w:rsid w:val="002E13C9"/>
    <w:rsid w:val="00326F90"/>
    <w:rsid w:val="003859E9"/>
    <w:rsid w:val="00460F2E"/>
    <w:rsid w:val="00500D11"/>
    <w:rsid w:val="00642986"/>
    <w:rsid w:val="009018C9"/>
    <w:rsid w:val="00A35B36"/>
    <w:rsid w:val="00AA1D8D"/>
    <w:rsid w:val="00AB6702"/>
    <w:rsid w:val="00B35227"/>
    <w:rsid w:val="00B4535E"/>
    <w:rsid w:val="00B47730"/>
    <w:rsid w:val="00C253C8"/>
    <w:rsid w:val="00CB0664"/>
    <w:rsid w:val="00D30060"/>
    <w:rsid w:val="00DA3DBA"/>
    <w:rsid w:val="00DE0402"/>
    <w:rsid w:val="00EC7F6A"/>
    <w:rsid w:val="00EE14ED"/>
    <w:rsid w:val="00F72D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B0042F"/>
  <w14:defaultImageDpi w14:val="300"/>
  <w15:docId w15:val="{38A0603E-F76E-4C9D-9251-86812EE1F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4F81BD" w:themeColor="accent1"/>
      <w:sz w:val="18"/>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Body">
    <w:name w:val="IEEE Body"/>
    <w:basedOn w:val="Normal"/>
    <w:pPr>
      <w:ind w:firstLine="230"/>
      <w:jc w:val="both"/>
    </w:pPr>
  </w:style>
  <w:style w:type="paragraph" w:customStyle="1" w:styleId="IEEECaption">
    <w:name w:val="IEEE Caption"/>
    <w:basedOn w:val="Normal"/>
    <w:pPr>
      <w:spacing w:before="40" w:after="40"/>
      <w:jc w:val="center"/>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6</Pages>
  <Words>4888</Words>
  <Characters>27868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BlockVote: A Gasless, Coercion-Resistant Decentralized E-Voting System</vt:lpstr>
    </vt:vector>
  </TitlesOfParts>
  <Manager/>
  <Company/>
  <LinksUpToDate>false</LinksUpToDate>
  <CharactersWithSpaces>32691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BlockVote: A Gasless, Coercion-Resistant Decentralized E-Voting System</dc:title>
  <dc:subject>BlockVote paper formatted after the Unleashing Innovation reference layout</dc:subject>
  <dc:creator>Deven Wagh;Kalpit Mhatre;Rohit Zagade;Prof. Abhijeet More</dc:creator>
  <cp:keywords>blockchain, e-voting, gasless relayer, liveness, UUPS, nullifier</cp:keywords>
  <dc:description>generated by python-docx</dc:description>
  <cp:lastModifiedBy>KALPIT MHATRE</cp:lastModifiedBy>
  <cp:revision>6</cp:revision>
  <dcterms:created xsi:type="dcterms:W3CDTF">2026-09-24T19:34:00Z</dcterms:created>
  <dcterms:modified xsi:type="dcterms:W3CDTF">2026-09-25T09:19:00Z</dcterms:modified>
  <cp:category/>
</cp:coreProperties>
</file>