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gafmift077i1" w:id="0"/>
      <w:bookmarkEnd w:id="0"/>
      <w:r w:rsidDel="00000000" w:rsidR="00000000" w:rsidRPr="00000000">
        <w:rPr>
          <w:rFonts w:ascii="Times New Roman" w:cs="Times New Roman" w:eastAsia="Times New Roman" w:hAnsi="Times New Roman"/>
          <w:b w:val="1"/>
          <w:bCs w:val="1"/>
          <w:color w:val="1f1f1f"/>
          <w:sz w:val="24"/>
          <w:szCs w:val="24"/>
          <w:rtl w:val="0"/>
        </w:rPr>
        <w:t xml:space="preserve">Business Report: Supply Chain Analytics &amp; Predictive Demand Insights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w:t>
      </w:r>
      <w:r w:rsidDel="00000000" w:rsidR="00000000" w:rsidRPr="00000000">
        <w:rPr>
          <w:rFonts w:ascii="Times New Roman" w:cs="Times New Roman" w:eastAsia="Times New Roman" w:hAnsi="Times New Roman"/>
          <w:color w:val="1f1f1f"/>
          <w:sz w:val="24"/>
          <w:szCs w:val="24"/>
          <w:rtl w:val="0"/>
        </w:rPr>
        <w:t xml:space="preserve"> Head of Supply Chain, Chief Financial Officer (CFO)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Subject:</w:t>
      </w:r>
      <w:r w:rsidDel="00000000" w:rsidR="00000000" w:rsidRPr="00000000">
        <w:rPr>
          <w:rFonts w:ascii="Times New Roman" w:cs="Times New Roman" w:eastAsia="Times New Roman" w:hAnsi="Times New Roman"/>
          <w:color w:val="1f1f1f"/>
          <w:sz w:val="24"/>
          <w:szCs w:val="24"/>
          <w:rtl w:val="0"/>
        </w:rPr>
        <w:t xml:space="preserve"> Core Sales Performance, Anomaly Assessment, and 3-Month Inventory Optimization Strategy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hx86ghl9xox6" w:id="1"/>
      <w:bookmarkEnd w:id="1"/>
      <w:r w:rsidDel="00000000" w:rsidR="00000000" w:rsidRPr="00000000">
        <w:rPr>
          <w:rFonts w:ascii="Times New Roman" w:cs="Times New Roman" w:eastAsia="Times New Roman" w:hAnsi="Times New Roman"/>
          <w:b w:val="1"/>
          <w:bCs w:val="1"/>
          <w:color w:val="1f1f1f"/>
          <w:sz w:val="24"/>
          <w:szCs w:val="24"/>
          <w:rtl w:val="0"/>
        </w:rPr>
        <w:t xml:space="preserve">Executive Summary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Our retail sales network is showing clear signs of long-term expansion, but it remains heavily exposed to massive seasonal spikes and sudden inventory drops during the winter months. To move away from reactive purchasing, we deployed an advanced predictive engine that strips out normal seasonal patterns to capture true market trajectories. Our analysis reveals that simple, standard statistical inventory rules are failing to catch critical stock changes because they ignore our natural growth cycle. By shifting to an artificial intelligence-driven category model, we can safely reduce excess safety stock for stable items while setting up targeted, high-priority supplier agreements for our high-volume revenue drivers. Adopting these data-backed stocking strategies will allow us to protect core cash flow, prevent expensive stockouts, and better align our warehouse operations with actual market demand.</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8kfj15a6ejh" w:id="2"/>
      <w:bookmarkEnd w:id="2"/>
      <w:r w:rsidDel="00000000" w:rsidR="00000000" w:rsidRPr="00000000">
        <w:rPr>
          <w:rFonts w:ascii="Times New Roman" w:cs="Times New Roman" w:eastAsia="Times New Roman" w:hAnsi="Times New Roman"/>
          <w:b w:val="1"/>
          <w:bCs w:val="1"/>
          <w:color w:val="1f1f1f"/>
          <w:sz w:val="24"/>
          <w:szCs w:val="24"/>
          <w:rtl w:val="0"/>
        </w:rPr>
        <w:t xml:space="preserve">Key Findings from Exploratory Data Analysis &amp; Forecasting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Our historical transaction patterns from 2015 through early 2019 reveal a business experiencing robust, structural year-over-year growth. However, this growth trajectory is paired with extreme, recurring intra-year volatility.</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y9tbqcm9uazj" w:id="3"/>
      <w:bookmarkEnd w:id="3"/>
      <w:r w:rsidDel="00000000" w:rsidR="00000000" w:rsidRPr="00000000">
        <w:rPr>
          <w:rFonts w:ascii="Times New Roman" w:cs="Times New Roman" w:eastAsia="Times New Roman" w:hAnsi="Times New Roman"/>
          <w:b w:val="1"/>
          <w:bCs w:val="1"/>
          <w:color w:val="1f1f1f"/>
          <w:sz w:val="24"/>
          <w:szCs w:val="24"/>
          <w:rtl w:val="0"/>
        </w:rPr>
        <w:t xml:space="preserve">Core Analytical Insights</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Revenue Engines:</w:t>
      </w:r>
      <w:r w:rsidDel="00000000" w:rsidR="00000000" w:rsidRPr="00000000">
        <w:rPr>
          <w:rFonts w:ascii="Times New Roman" w:cs="Times New Roman" w:eastAsia="Times New Roman" w:hAnsi="Times New Roman"/>
          <w:color w:val="1f1f1f"/>
          <w:sz w:val="24"/>
          <w:szCs w:val="24"/>
          <w:rtl w:val="0"/>
        </w:rPr>
        <w:t xml:space="preserve"> Technology and Furniture stand as our primary revenue drivers, exhibiting strong co-movement and consistent upward momentum.</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Macro Disconnect:</w:t>
      </w:r>
      <w:r w:rsidDel="00000000" w:rsidR="00000000" w:rsidRPr="00000000">
        <w:rPr>
          <w:rFonts w:ascii="Times New Roman" w:cs="Times New Roman" w:eastAsia="Times New Roman" w:hAnsi="Times New Roman"/>
          <w:color w:val="1f1f1f"/>
          <w:sz w:val="24"/>
          <w:szCs w:val="24"/>
          <w:rtl w:val="0"/>
        </w:rPr>
        <w:t xml:space="preserve"> Our internal product segments show strong internal positive correlations ($0.87$ to $0.99$). However, they are strongly negatively correlated with external regional sales indicators (such as North American and European regional metrics, which sit at $-0.39$ to $-0.83$). This indicates that our specific store footprint operates on an independent demand cycle that does not mirror general regional retail trends.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Variance Trap:</w:t>
      </w:r>
      <w:r w:rsidDel="00000000" w:rsidR="00000000" w:rsidRPr="00000000">
        <w:rPr>
          <w:rFonts w:ascii="Times New Roman" w:cs="Times New Roman" w:eastAsia="Times New Roman" w:hAnsi="Times New Roman"/>
          <w:color w:val="1f1f1f"/>
          <w:sz w:val="24"/>
          <w:szCs w:val="24"/>
          <w:rtl w:val="0"/>
        </w:rPr>
        <w:t xml:space="preserve"> Standard statistical inventory models (like a baseline Z-Score) fail entirely in our environment. Because our business is expanding so quickly, the overall variation in our data is artificially inflated. This completely blinds basic systems to critical localized spikes and drops.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erxsbirimfc4" w:id="4"/>
      <w:bookmarkEnd w:id="4"/>
      <w:r w:rsidDel="00000000" w:rsidR="00000000" w:rsidRPr="00000000">
        <w:rPr>
          <w:rFonts w:ascii="Times New Roman" w:cs="Times New Roman" w:eastAsia="Times New Roman" w:hAnsi="Times New Roman"/>
          <w:b w:val="1"/>
          <w:bCs w:val="1"/>
          <w:color w:val="1f1f1f"/>
          <w:sz w:val="24"/>
          <w:szCs w:val="24"/>
          <w:rtl w:val="0"/>
        </w:rPr>
        <w:t xml:space="preserve">3-Month Sales Forecast (Furniture Segment)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provide an operational baseline, the predictive engine generated a 3-month forward-looking trajectory specifically for the </w:t>
      </w:r>
      <w:r w:rsidDel="00000000" w:rsidR="00000000" w:rsidRPr="00000000">
        <w:rPr>
          <w:rFonts w:ascii="Times New Roman" w:cs="Times New Roman" w:eastAsia="Times New Roman" w:hAnsi="Times New Roman"/>
          <w:b w:val="1"/>
          <w:bCs w:val="1"/>
          <w:color w:val="1f1f1f"/>
          <w:sz w:val="24"/>
          <w:szCs w:val="24"/>
          <w:rtl w:val="0"/>
        </w:rPr>
        <w:t xml:space="preserve">Furniture</w:t>
      </w:r>
      <w:r w:rsidDel="00000000" w:rsidR="00000000" w:rsidRPr="00000000">
        <w:rPr>
          <w:rFonts w:ascii="Times New Roman" w:cs="Times New Roman" w:eastAsia="Times New Roman" w:hAnsi="Times New Roman"/>
          <w:color w:val="1f1f1f"/>
          <w:sz w:val="24"/>
          <w:szCs w:val="24"/>
          <w:rtl w:val="0"/>
        </w:rPr>
        <w:t xml:space="preserve"> segment. Rather than providing a single, rigid estimate, the model establishes a realistic target along with a conservative floor and an aggressive ceiling to help manage capital risk.</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60l5m1v7r3g4" w:id="5"/>
      <w:bookmarkEnd w:id="5"/>
      <w:r w:rsidDel="00000000" w:rsidR="00000000" w:rsidRPr="00000000">
        <w:rPr>
          <w:rFonts w:ascii="Times New Roman" w:cs="Times New Roman" w:eastAsia="Times New Roman" w:hAnsi="Times New Roman"/>
          <w:b w:val="1"/>
          <w:bCs w:val="1"/>
          <w:color w:val="1f1f1f"/>
          <w:sz w:val="24"/>
          <w:szCs w:val="24"/>
          <w:rtl w:val="0"/>
        </w:rPr>
        <w:t xml:space="preserve">Furniture Sales Projections (Next 3 Months)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Month 1 (Expected Target):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$16,500</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i w:val="1"/>
          <w:iCs w:val="1"/>
          <w:color w:val="1f1f1f"/>
          <w:sz w:val="24"/>
          <w:szCs w:val="24"/>
          <w:rtl w:val="0"/>
        </w:rPr>
        <w:t xml:space="preserve">Operational Range:</w:t>
      </w:r>
      <w:r w:rsidDel="00000000" w:rsidR="00000000" w:rsidRPr="00000000">
        <w:rPr>
          <w:rFonts w:ascii="Times New Roman" w:cs="Times New Roman" w:eastAsia="Times New Roman" w:hAnsi="Times New Roman"/>
          <w:color w:val="1f1f1f"/>
          <w:sz w:val="24"/>
          <w:szCs w:val="24"/>
          <w:rtl w:val="0"/>
        </w:rPr>
        <w:t xml:space="preserve"> Safe minimum of $14,669 to an upper ceiling of $18,331.</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Month 2 (Expected Target):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$17,200</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i w:val="1"/>
          <w:iCs w:val="1"/>
          <w:color w:val="1f1f1f"/>
          <w:sz w:val="24"/>
          <w:szCs w:val="24"/>
          <w:rtl w:val="0"/>
        </w:rPr>
        <w:t xml:space="preserve">Operational Range:</w:t>
      </w:r>
      <w:r w:rsidDel="00000000" w:rsidR="00000000" w:rsidRPr="00000000">
        <w:rPr>
          <w:rFonts w:ascii="Times New Roman" w:cs="Times New Roman" w:eastAsia="Times New Roman" w:hAnsi="Times New Roman"/>
          <w:color w:val="1f1f1f"/>
          <w:sz w:val="24"/>
          <w:szCs w:val="24"/>
          <w:rtl w:val="0"/>
        </w:rPr>
        <w:t xml:space="preserve"> Safe minimum of $15,369 to an upper ceiling of $19,031.</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Month 3 (Expected Target):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$18,100</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i w:val="1"/>
          <w:iCs w:val="1"/>
          <w:color w:val="1f1f1f"/>
          <w:sz w:val="24"/>
          <w:szCs w:val="24"/>
          <w:rtl w:val="0"/>
        </w:rPr>
        <w:t xml:space="preserve">Operational Range:</w:t>
      </w:r>
      <w:r w:rsidDel="00000000" w:rsidR="00000000" w:rsidRPr="00000000">
        <w:rPr>
          <w:rFonts w:ascii="Times New Roman" w:cs="Times New Roman" w:eastAsia="Times New Roman" w:hAnsi="Times New Roman"/>
          <w:color w:val="1f1f1f"/>
          <w:sz w:val="24"/>
          <w:szCs w:val="24"/>
          <w:rtl w:val="0"/>
        </w:rPr>
        <w:t xml:space="preserve"> Safe minimum of $16,269 to an upper ceiling of $19,931.</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Plain Language Translation:</w:t>
      </w:r>
      <w:r w:rsidDel="00000000" w:rsidR="00000000" w:rsidRPr="00000000">
        <w:rPr>
          <w:rFonts w:ascii="Times New Roman" w:cs="Times New Roman" w:eastAsia="Times New Roman" w:hAnsi="Times New Roman"/>
          <w:color w:val="1f1f1f"/>
          <w:sz w:val="24"/>
          <w:szCs w:val="24"/>
          <w:rtl w:val="0"/>
        </w:rPr>
        <w:t xml:space="preserve"> We expect Furniture demand to grow steadily over the next quarter, averaging roughly $17,266 per month. To ensure a 95% service level, the CFO should preserve cash lines to support up to $19,931 in peak monthly volume, while the Head of Supply Chain should use the $14,669 floor to prevent over-purchasing if the market slows down.</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z3pe2np1pql" w:id="6"/>
      <w:bookmarkEnd w:id="6"/>
      <w:r w:rsidDel="00000000" w:rsidR="00000000" w:rsidRPr="00000000">
        <w:rPr>
          <w:rFonts w:ascii="Times New Roman" w:cs="Times New Roman" w:eastAsia="Times New Roman" w:hAnsi="Times New Roman"/>
          <w:b w:val="1"/>
          <w:bCs w:val="1"/>
          <w:color w:val="1f1f1f"/>
          <w:sz w:val="24"/>
          <w:szCs w:val="24"/>
          <w:rtl w:val="0"/>
        </w:rPr>
        <w:t xml:space="preserve">Top 3 Anomalies Detected &amp; System Evaluation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Our anomaly detection system compared a standard statistical model (Z-Score) against a machine learning model (Isolation Forest). The standard Z-Score failed to flag a single anomaly because our massive peak-season volumes skew the regular average. Conversely, the machine learning model successfully isolated true operational outliers.</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d4punoqvlkjz" w:id="7"/>
      <w:bookmarkEnd w:id="7"/>
      <w:r w:rsidDel="00000000" w:rsidR="00000000" w:rsidRPr="00000000">
        <w:rPr>
          <w:rFonts w:ascii="Times New Roman" w:cs="Times New Roman" w:eastAsia="Times New Roman" w:hAnsi="Times New Roman"/>
          <w:b w:val="1"/>
          <w:bCs w:val="1"/>
          <w:color w:val="1f1f1f"/>
          <w:sz w:val="24"/>
          <w:szCs w:val="24"/>
          <w:rtl w:val="0"/>
        </w:rPr>
        <w:t xml:space="preserve">Top 3 Flagged Anomalies</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Early 2015 Collapse:</w:t>
      </w:r>
      <w:r w:rsidDel="00000000" w:rsidR="00000000" w:rsidRPr="00000000">
        <w:rPr>
          <w:rFonts w:ascii="Times New Roman" w:cs="Times New Roman" w:eastAsia="Times New Roman" w:hAnsi="Times New Roman"/>
          <w:color w:val="1f1f1f"/>
          <w:sz w:val="24"/>
          <w:szCs w:val="24"/>
          <w:rtl w:val="0"/>
        </w:rPr>
        <w:t xml:space="preserve"> An unprecedented drop in weekly sales volume to near-zero levels immediately following the 2014 holiday rush.</w:t>
      </w:r>
    </w:p>
    <w:p w:rsidR="00000000" w:rsidDel="00000000" w:rsidP="00000000" w:rsidRDefault="00000000" w:rsidRPr="00000000" w14:paraId="00000019">
      <w:pPr>
        <w:numPr>
          <w:ilvl w:val="1"/>
          <w:numId w:val="4"/>
        </w:numPr>
        <w:pBdr>
          <w:top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Likely Cause:</w:t>
      </w:r>
      <w:r w:rsidDel="00000000" w:rsidR="00000000" w:rsidRPr="00000000">
        <w:rPr>
          <w:rFonts w:ascii="Times New Roman" w:cs="Times New Roman" w:eastAsia="Times New Roman" w:hAnsi="Times New Roman"/>
          <w:color w:val="1f1f1f"/>
          <w:sz w:val="24"/>
          <w:szCs w:val="24"/>
          <w:rtl w:val="0"/>
        </w:rPr>
        <w:t xml:space="preserve"> Post-holiday inventory depletion paired with systemic supplier shipping delays during the winter transition.</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Late 2015 Demand Surge:</w:t>
      </w:r>
      <w:r w:rsidDel="00000000" w:rsidR="00000000" w:rsidRPr="00000000">
        <w:rPr>
          <w:rFonts w:ascii="Times New Roman" w:cs="Times New Roman" w:eastAsia="Times New Roman" w:hAnsi="Times New Roman"/>
          <w:color w:val="1f1f1f"/>
          <w:sz w:val="24"/>
          <w:szCs w:val="24"/>
          <w:rtl w:val="0"/>
        </w:rPr>
        <w:t xml:space="preserve"> A massive, sudden spike in weekly volume that jumped far above the historical trend line.</w:t>
      </w:r>
    </w:p>
    <w:p w:rsidR="00000000" w:rsidDel="00000000" w:rsidP="00000000" w:rsidRDefault="00000000" w:rsidRPr="00000000" w14:paraId="0000001B">
      <w:pPr>
        <w:numPr>
          <w:ilvl w:val="1"/>
          <w:numId w:val="4"/>
        </w:numPr>
        <w:pBdr>
          <w:top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Likely Cause:</w:t>
      </w:r>
      <w:r w:rsidDel="00000000" w:rsidR="00000000" w:rsidRPr="00000000">
        <w:rPr>
          <w:rFonts w:ascii="Times New Roman" w:cs="Times New Roman" w:eastAsia="Times New Roman" w:hAnsi="Times New Roman"/>
          <w:color w:val="1f1f1f"/>
          <w:sz w:val="24"/>
          <w:szCs w:val="24"/>
          <w:rtl w:val="0"/>
        </w:rPr>
        <w:t xml:space="preserve"> Unanticipated bulk corporate procurement or an aggressive mid-market promotional campaign that outpaced standard inventory allocations.</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Late 2018 Volatility Cluster:</w:t>
      </w:r>
      <w:r w:rsidDel="00000000" w:rsidR="00000000" w:rsidRPr="00000000">
        <w:rPr>
          <w:rFonts w:ascii="Times New Roman" w:cs="Times New Roman" w:eastAsia="Times New Roman" w:hAnsi="Times New Roman"/>
          <w:color w:val="1f1f1f"/>
          <w:sz w:val="24"/>
          <w:szCs w:val="24"/>
          <w:rtl w:val="0"/>
        </w:rPr>
        <w:t xml:space="preserve"> A dense, irregular series of extreme highs and sharp drops occurring in rapid succession during the final quarter of 2018.</w:t>
      </w:r>
    </w:p>
    <w:p w:rsidR="00000000" w:rsidDel="00000000" w:rsidP="00000000" w:rsidRDefault="00000000" w:rsidRPr="00000000" w14:paraId="0000001D">
      <w:pPr>
        <w:numPr>
          <w:ilvl w:val="1"/>
          <w:numId w:val="4"/>
        </w:numPr>
        <w:pBdr>
          <w:top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Likely Cause:</w:t>
      </w:r>
      <w:r w:rsidDel="00000000" w:rsidR="00000000" w:rsidRPr="00000000">
        <w:rPr>
          <w:rFonts w:ascii="Times New Roman" w:cs="Times New Roman" w:eastAsia="Times New Roman" w:hAnsi="Times New Roman"/>
          <w:color w:val="1f1f1f"/>
          <w:sz w:val="24"/>
          <w:szCs w:val="24"/>
          <w:rtl w:val="0"/>
        </w:rPr>
        <w:t xml:space="preserve"> Severe regional supply chain bottlenecks combined with erratic consumer purchasing patterns at the end of the year.</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ony08ysbida7" w:id="8"/>
      <w:bookmarkEnd w:id="8"/>
      <w:r w:rsidDel="00000000" w:rsidR="00000000" w:rsidRPr="00000000">
        <w:rPr>
          <w:rFonts w:ascii="Times New Roman" w:cs="Times New Roman" w:eastAsia="Times New Roman" w:hAnsi="Times New Roman"/>
          <w:b w:val="1"/>
          <w:bCs w:val="1"/>
          <w:color w:val="1f1f1f"/>
          <w:sz w:val="24"/>
          <w:szCs w:val="24"/>
          <w:rtl w:val="0"/>
        </w:rPr>
        <w:t xml:space="preserve">Product Demand Segmentation &amp; Stocking Strategy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Using Principal Component Analysis (PCA) and data clustering, we mapped our entire product sub-category catalog into four operational segments based on their total sales volume and demand stability.</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025"/>
        <w:gridCol w:w="2220"/>
        <w:gridCol w:w="3315"/>
        <w:tblGridChange w:id="0">
          <w:tblGrid>
            <w:gridCol w:w="1200"/>
            <w:gridCol w:w="2025"/>
            <w:gridCol w:w="2220"/>
            <w:gridCol w:w="331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Cluster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Classification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Profile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Recommended Stocking Strategy</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Ultra-High Velocity Outliers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Massive revenue drivers that sit entirely separate from the rest of the catalog due to extreme volume.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Bespoke Monitoring &amp; Priority Routing:</w:t>
            </w:r>
            <w:r w:rsidDel="00000000" w:rsidR="00000000" w:rsidRPr="00000000">
              <w:rPr>
                <w:rFonts w:ascii="Times New Roman" w:cs="Times New Roman" w:eastAsia="Times New Roman" w:hAnsi="Times New Roman"/>
                <w:color w:val="1f1f1f"/>
                <w:sz w:val="24"/>
                <w:szCs w:val="24"/>
                <w:rtl w:val="0"/>
              </w:rPr>
              <w:t xml:space="preserve"> Do not let automated ordering tools handle these items. Set up high-priority supplier agreements and Vendor-Managed Inventory (VMI) to prevent high-impact stockouts.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Highly Volatile / Seasonal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Low-to-moderate total volume, but highly erratic and subject to sharp seasonal spikes.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Dynamic Just-In-Time (JIT) Scaling:</w:t>
            </w:r>
            <w:r w:rsidDel="00000000" w:rsidR="00000000" w:rsidRPr="00000000">
              <w:rPr>
                <w:rFonts w:ascii="Times New Roman" w:cs="Times New Roman" w:eastAsia="Times New Roman" w:hAnsi="Times New Roman"/>
                <w:color w:val="1f1f1f"/>
                <w:sz w:val="24"/>
                <w:szCs w:val="24"/>
                <w:rtl w:val="0"/>
              </w:rPr>
              <w:t xml:space="preserve"> Keep baseline stock lean to minimize holding costs, but use flexible supplier contracts to scale up right before known peak seasons.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Core Staples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High-density cluster containing the bulk of our products. Predictable, steady, everyday demand.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Continuous Automated Replenishment:</w:t>
            </w:r>
            <w:r w:rsidDel="00000000" w:rsidR="00000000" w:rsidRPr="00000000">
              <w:rPr>
                <w:rFonts w:ascii="Times New Roman" w:cs="Times New Roman" w:eastAsia="Times New Roman" w:hAnsi="Times New Roman"/>
                <w:color w:val="1f1f1f"/>
                <w:sz w:val="24"/>
                <w:szCs w:val="24"/>
                <w:rtl w:val="0"/>
              </w:rPr>
              <w:t xml:space="preserve"> Implement fixed Reorder Points (ROP) with standardized safety stock to maximize warehouse efficiency and turnover.</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Mid-Volume Swing Items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Isolated products showing moderate total volume paired with noticeable demand fluctuations.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Hybrid Forecasting with Safety Buffers:</w:t>
            </w:r>
            <w:r w:rsidDel="00000000" w:rsidR="00000000" w:rsidRPr="00000000">
              <w:rPr>
                <w:rFonts w:ascii="Times New Roman" w:cs="Times New Roman" w:eastAsia="Times New Roman" w:hAnsi="Times New Roman"/>
                <w:color w:val="1f1f1f"/>
                <w:sz w:val="24"/>
                <w:szCs w:val="24"/>
                <w:rtl w:val="0"/>
              </w:rPr>
              <w:t xml:space="preserve"> Combine historical trends with direct sales pipeline data, keeping a slightly higher safety stock cushion to absorb sudden demand changes.</w:t>
            </w:r>
          </w:p>
        </w:tc>
      </w:tr>
    </w:tbl>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8n2a8i4fctgz" w:id="9"/>
      <w:bookmarkEnd w:id="9"/>
      <w:r w:rsidDel="00000000" w:rsidR="00000000" w:rsidRPr="00000000">
        <w:rPr>
          <w:rFonts w:ascii="Times New Roman" w:cs="Times New Roman" w:eastAsia="Times New Roman" w:hAnsi="Times New Roman"/>
          <w:b w:val="1"/>
          <w:bCs w:val="1"/>
          <w:color w:val="1f1f1f"/>
          <w:sz w:val="24"/>
          <w:szCs w:val="24"/>
          <w:rtl w:val="0"/>
        </w:rPr>
        <w:t xml:space="preserve">Actionable Business Recommendations</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Reallocate $45,000 in Capital from Cluster 2 to Cluster 0 Buffer Stock</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i w:val="1"/>
          <w:iCs w:val="1"/>
          <w:color w:val="1f1f1f"/>
          <w:sz w:val="24"/>
          <w:szCs w:val="24"/>
          <w:rtl w:val="0"/>
        </w:rPr>
        <w:t xml:space="preserve">Data Backing:</w:t>
      </w:r>
      <w:r w:rsidDel="00000000" w:rsidR="00000000" w:rsidRPr="00000000">
        <w:rPr>
          <w:rFonts w:ascii="Times New Roman" w:cs="Times New Roman" w:eastAsia="Times New Roman" w:hAnsi="Times New Roman"/>
          <w:color w:val="1f1f1f"/>
          <w:sz w:val="24"/>
          <w:szCs w:val="24"/>
          <w:rtl w:val="0"/>
        </w:rPr>
        <w:t xml:space="preserve"> Cluster 2 items (Core Staples) exhibit highly predictable demand and low variance, meaning we are currently holding unnecessary safety stock. Moving this idle capital to fund a dedicated inventory buffer for Cluster 0 (High-Velocity Outliers) will insulate our primary revenue engines from expensive stockouts.</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Transition Cluster 1 Ordering to Variable, Flexible Contracts</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i w:val="1"/>
          <w:iCs w:val="1"/>
          <w:color w:val="1f1f1f"/>
          <w:sz w:val="24"/>
          <w:szCs w:val="24"/>
          <w:rtl w:val="0"/>
        </w:rPr>
        <w:t xml:space="preserve">Data Backing:</w:t>
      </w:r>
      <w:r w:rsidDel="00000000" w:rsidR="00000000" w:rsidRPr="00000000">
        <w:rPr>
          <w:rFonts w:ascii="Times New Roman" w:cs="Times New Roman" w:eastAsia="Times New Roman" w:hAnsi="Times New Roman"/>
          <w:color w:val="1f1f1f"/>
          <w:sz w:val="24"/>
          <w:szCs w:val="24"/>
          <w:rtl w:val="0"/>
        </w:rPr>
        <w:t xml:space="preserve"> Historical data confirms that Cluster 1 items suffer from severe seasonal drops, including the near-zero collapse seen in early 2015. Moving away from fixed, rigid monthly purchase quotas will prevent capital from being tied up in dead stock during low-demand periods.</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Decouple Procurement Planning from Global Market Indexes</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i w:val="1"/>
          <w:iCs w:val="1"/>
          <w:color w:val="1f1f1f"/>
          <w:sz w:val="24"/>
          <w:szCs w:val="24"/>
          <w:rtl w:val="0"/>
        </w:rPr>
        <w:t xml:space="preserve">Data Backing:</w:t>
      </w:r>
      <w:r w:rsidDel="00000000" w:rsidR="00000000" w:rsidRPr="00000000">
        <w:rPr>
          <w:rFonts w:ascii="Times New Roman" w:cs="Times New Roman" w:eastAsia="Times New Roman" w:hAnsi="Times New Roman"/>
          <w:color w:val="1f1f1f"/>
          <w:sz w:val="24"/>
          <w:szCs w:val="24"/>
          <w:rtl w:val="0"/>
        </w:rPr>
        <w:t xml:space="preserve"> Our internal segment metrics show strong negative correlations (as low as $-0.83$) against external regional indicators. Purchasing and supply chain planning should be driven strictly by our internal predictive engine rather than general external market forecasts.</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no00ocmzx2v6" w:id="10"/>
      <w:bookmarkEnd w:id="10"/>
      <w:r w:rsidDel="00000000" w:rsidR="00000000" w:rsidRPr="00000000">
        <w:rPr>
          <w:rFonts w:ascii="Times New Roman" w:cs="Times New Roman" w:eastAsia="Times New Roman" w:hAnsi="Times New Roman"/>
          <w:b w:val="1"/>
          <w:bCs w:val="1"/>
          <w:color w:val="1f1f1f"/>
          <w:sz w:val="24"/>
          <w:szCs w:val="24"/>
          <w:rtl w:val="0"/>
        </w:rPr>
        <w:t xml:space="preserve">System Limitations &amp; Risks</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bCs w:val="1"/>
          <w:color w:val="1f1f1f"/>
          <w:sz w:val="24"/>
          <w:szCs w:val="24"/>
        </w:rPr>
      </w:pPr>
      <w:bookmarkStart w:colFirst="0" w:colLast="0" w:name="_xu38lidy6lnq" w:id="11"/>
      <w:bookmarkEnd w:id="11"/>
      <w:r w:rsidDel="00000000" w:rsidR="00000000" w:rsidRPr="00000000">
        <w:rPr>
          <w:rFonts w:ascii="Times New Roman" w:cs="Times New Roman" w:eastAsia="Times New Roman" w:hAnsi="Times New Roman"/>
          <w:b w:val="1"/>
          <w:bCs w:val="1"/>
          <w:color w:val="1f1f1f"/>
          <w:sz w:val="24"/>
          <w:szCs w:val="24"/>
          <w:rtl w:val="0"/>
        </w:rPr>
        <w:t xml:space="preserve">The Post-Holiday Blindspot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primary risk to this system is its reliance on historical data patterns to predict future performance. While the engine is highly effective at identifying normal seasonal cycles and underlying growth trends, it cannot predict sudden macro shocks—such as sudden factory shutdowns, unexpected tariff changes, or abrupt shifts in shipping lines.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a major logistics disruption occurs right before a peak season, the system will continue to forecast high sales based on past years, potentially causing us to over-order stock that cannot be delivered. We recommend pairing these model outputs with regular qualitative risk reviews alongside our primary suppliers.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From:</w:t>
      </w:r>
      <w:r w:rsidDel="00000000" w:rsidR="00000000" w:rsidRPr="00000000">
        <w:rPr>
          <w:rFonts w:ascii="Times New Roman" w:cs="Times New Roman" w:eastAsia="Times New Roman" w:hAnsi="Times New Roman"/>
          <w:color w:val="1f1f1f"/>
          <w:sz w:val="24"/>
          <w:szCs w:val="24"/>
          <w:rtl w:val="0"/>
        </w:rPr>
        <w:t xml:space="preserve"> Gowru Devi Vara Venkata Sai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