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InsightStream: Navigate the News Landscape</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r>
              <w:rPr>
                <w:rFonts w:ascii="Calibri" w:cs="Calibri" w:eastAsia="Calibri" w:hAnsi="Calibri" w:hint="default"/>
                <w:b w:val="false"/>
                <w:bCs w:val="false"/>
                <w:i w:val="false"/>
                <w:iCs w:val="false"/>
                <w:color w:val="auto"/>
                <w:sz w:val="22"/>
                <w:szCs w:val="22"/>
                <w:highlight w:val="none"/>
                <w:vertAlign w:val="baseline"/>
                <w:em w:val="none"/>
                <w:lang w:val="en-US" w:eastAsia="en-IN"/>
              </w:rPr>
              <w:t>SWTID1741254635148223</w:t>
            </w:r>
          </w:p>
        </w:tc>
      </w:tr>
      <w:tr>
        <w:tblPrEx/>
        <w:trPr/>
        <w:tc>
          <w:tcPr>
            <w:tcW w:w="4508" w:type="dxa"/>
            <w:tcBorders/>
          </w:tcPr>
          <w:p>
            <w:pPr>
              <w:pStyle w:val="style0"/>
              <w:rPr/>
            </w:pPr>
            <w:r>
              <w:t>Project Name</w:t>
            </w:r>
          </w:p>
        </w:tc>
        <w:tc>
          <w:tcPr>
            <w:tcW w:w="4508" w:type="dxa"/>
            <w:tcBorders/>
          </w:tcPr>
          <w:p>
            <w:pPr>
              <w:pStyle w:val="style0"/>
              <w:rPr/>
            </w:pPr>
            <w:r>
              <w:rPr>
                <w:lang w:val="en-US"/>
              </w:rPr>
              <w:t>News App</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878830"/>
            <wp:effectExtent l="0" t="0" r="2540" b="762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87883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98</Words>
  <Pages>2</Pages>
  <Characters>597</Characters>
  <Application>WPS Office</Application>
  <DocSecurity>0</DocSecurity>
  <Paragraphs>29</Paragraphs>
  <ScaleCrop>false</ScaleCrop>
  <LinksUpToDate>false</LinksUpToDate>
  <CharactersWithSpaces>679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2025-03-05T19:37:00Z</dcterms:created>
  <dc:creator>Amarender Katkam</dc:creator>
  <lastModifiedBy>CPH2185</lastModifiedBy>
  <dcterms:modified xsi:type="dcterms:W3CDTF">2025-03-10T09:07:32Z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d14c2680ec3d43e087eb7a01b6cf7839</vt:lpwstr>
  </property>
</Properties>
</file>