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56"/>
        </w:rPr>
        <w:t>GATE COMPLETE GUIDE</w:t>
      </w:r>
    </w:p>
    <w:p>
      <w:pPr>
        <w:jc w:val="center"/>
      </w:pPr>
      <w:r>
        <w:rPr>
          <w:color w:val="4A5568"/>
          <w:sz w:val="28"/>
        </w:rPr>
        <w:t>Options, Papers, Admissions, PSU Pathways and Eligibility</w:t>
      </w:r>
    </w:p>
    <w:p>
      <w:pPr>
        <w:jc w:val="center"/>
      </w:pPr>
      <w:r>
        <w:rPr>
          <w:color w:val="5A646E"/>
          <w:sz w:val="18"/>
        </w:rPr>
        <w:t>Prepared for a 2nd-year B.Tech CSE student</w:t>
        <w:br/>
        <w:t>Information checked against official GATE 2027 sources available in September 2026.</w:t>
      </w:r>
    </w:p>
    <w:p>
      <w:r>
        <w:rPr>
          <w:b/>
          <w:color w:val="16324F"/>
          <w:sz w:val="36"/>
        </w:rPr>
        <w:t>1. What does GATE actually unlock?</w:t>
      </w:r>
    </w:p>
    <w:p>
      <w:r>
        <w:t>IITs / IISc / participating institutes - M.Tech, MS/M.E. and some doctoral/direct-doctoral routes. Institute-specific eligibility and selection rules apply.</w:t>
      </w:r>
    </w:p>
    <w:p>
      <w:r>
        <w:t>COAP - Common Offer Acceptance Portal for participating IITs/IISc and certain offers. It is not the M.Tech application portal; you apply separately to each institute.</w:t>
      </w:r>
    </w:p>
    <w:p>
      <w:r>
        <w:t>NITs / IIEST / many IIITs / CFTIs - CCMT provides centralized counselling based on valid GATE scores for participating programs.</w:t>
      </w:r>
    </w:p>
    <w:p>
      <w:r>
        <w:t>Other universities/institutes - Some institutions in India and abroad accept GATE scores, but acceptance, qualifying degree, score/paper requirements and funding are institution-specific.</w:t>
      </w:r>
    </w:p>
    <w:p>
      <w:r>
        <w:rPr>
          <w:b/>
          <w:color w:val="245B7A"/>
          <w:sz w:val="26"/>
        </w:rPr>
        <w:t>Financial assistance</w:t>
      </w:r>
    </w:p>
    <w:p>
      <w:r>
        <w:t>The official GATE 2027 opportunities page states that a qualifying GATE score can be used to seek financial assistance for eligible Master's and doctoral/direct-doctoral programs in supported institutions. It lists M.Tech financial assistance at ₹12,400 per month, generally for 22 months, subject to applicable rules. Always verify the current institute/Ministry rules.</w:t>
      </w:r>
    </w:p>
    <w:p>
      <w:r>
        <w:rPr>
          <w:b/>
          <w:color w:val="245B7A"/>
          <w:sz w:val="26"/>
        </w:rPr>
        <w:t>Score validity</w:t>
      </w:r>
    </w:p>
    <w:p>
      <w:r>
        <w:t>A GATE score remains valid for 3 years from the date of announcement of results. Individual institutes and PSUs may impose their own score-year requirements.</w:t>
      </w:r>
    </w:p>
    <w:p>
      <w:r>
        <w:rPr>
          <w:b/>
          <w:color w:val="16324F"/>
          <w:sz w:val="36"/>
        </w:rPr>
        <w:t>2. GATE 2027 test papers</w:t>
      </w:r>
    </w:p>
    <w:p>
      <w:r>
        <w:t>GATE 2027 has 30 test papers. A candidate may appear in one paper or, where permitted, two papers. Robotics &amp; Automation (RA) is a new paper in GATE 2027.</w:t>
      </w:r>
    </w:p>
    <w:tbl>
      <w:tblPr>
        <w:tblStyle w:val="TableGrid"/>
        <w:tblW w:type="auto" w:w="0"/>
        <w:jc w:val="center"/>
        <w:tblLook w:firstColumn="1" w:firstRow="1" w:lastColumn="0" w:lastRow="0" w:noHBand="0" w:noVBand="1" w:val="04A0"/>
      </w:tblPr>
      <w:tblGrid>
        <w:gridCol w:w="5112"/>
        <w:gridCol w:w="5112"/>
      </w:tblGrid>
      <w:tr>
        <w:tc>
          <w:tcPr>
            <w:tcW w:type="dxa" w:w="5112"/>
            <w:shd w:fill="16324F"/>
          </w:tcPr>
          <w:p>
            <w:r>
              <w:rPr>
                <w:b/>
                <w:color w:val="FFFFFF"/>
              </w:rPr>
              <w:t>Code</w:t>
            </w:r>
          </w:p>
        </w:tc>
        <w:tc>
          <w:tcPr>
            <w:tcW w:type="dxa" w:w="5112"/>
            <w:shd w:fill="16324F"/>
          </w:tcPr>
          <w:p>
            <w:r>
              <w:rPr>
                <w:b/>
                <w:color w:val="FFFFFF"/>
              </w:rPr>
              <w:t>Paper</w:t>
            </w:r>
          </w:p>
        </w:tc>
      </w:tr>
      <w:tr>
        <w:tc>
          <w:tcPr>
            <w:tcW w:type="dxa" w:w="5112"/>
            <w:vAlign w:val="center"/>
          </w:tcPr>
          <w:p>
            <w:r>
              <w:t>AE</w:t>
            </w:r>
          </w:p>
        </w:tc>
        <w:tc>
          <w:tcPr>
            <w:tcW w:type="dxa" w:w="5112"/>
            <w:vAlign w:val="center"/>
          </w:tcPr>
          <w:p>
            <w:r>
              <w:t>Aerospace Engineering</w:t>
            </w:r>
          </w:p>
        </w:tc>
      </w:tr>
      <w:tr>
        <w:tc>
          <w:tcPr>
            <w:tcW w:type="dxa" w:w="5112"/>
            <w:vAlign w:val="center"/>
          </w:tcPr>
          <w:p>
            <w:r>
              <w:t>AG</w:t>
            </w:r>
          </w:p>
        </w:tc>
        <w:tc>
          <w:tcPr>
            <w:tcW w:type="dxa" w:w="5112"/>
            <w:vAlign w:val="center"/>
          </w:tcPr>
          <w:p>
            <w:r>
              <w:t>Agricultural Engineering</w:t>
            </w:r>
          </w:p>
        </w:tc>
      </w:tr>
      <w:tr>
        <w:tc>
          <w:tcPr>
            <w:tcW w:type="dxa" w:w="5112"/>
            <w:vAlign w:val="center"/>
          </w:tcPr>
          <w:p>
            <w:r>
              <w:t>AR</w:t>
            </w:r>
          </w:p>
        </w:tc>
        <w:tc>
          <w:tcPr>
            <w:tcW w:type="dxa" w:w="5112"/>
            <w:vAlign w:val="center"/>
          </w:tcPr>
          <w:p>
            <w:r>
              <w:t>Architecture and Planning</w:t>
            </w:r>
          </w:p>
        </w:tc>
      </w:tr>
      <w:tr>
        <w:tc>
          <w:tcPr>
            <w:tcW w:type="dxa" w:w="5112"/>
            <w:vAlign w:val="center"/>
          </w:tcPr>
          <w:p>
            <w:r>
              <w:t>BM</w:t>
            </w:r>
          </w:p>
        </w:tc>
        <w:tc>
          <w:tcPr>
            <w:tcW w:type="dxa" w:w="5112"/>
            <w:vAlign w:val="center"/>
          </w:tcPr>
          <w:p>
            <w:r>
              <w:t>Biomedical Engineering</w:t>
            </w:r>
          </w:p>
        </w:tc>
      </w:tr>
      <w:tr>
        <w:tc>
          <w:tcPr>
            <w:tcW w:type="dxa" w:w="5112"/>
            <w:vAlign w:val="center"/>
          </w:tcPr>
          <w:p>
            <w:r>
              <w:t>BT</w:t>
            </w:r>
          </w:p>
        </w:tc>
        <w:tc>
          <w:tcPr>
            <w:tcW w:type="dxa" w:w="5112"/>
            <w:vAlign w:val="center"/>
          </w:tcPr>
          <w:p>
            <w:r>
              <w:t>Biotechnology</w:t>
            </w:r>
          </w:p>
        </w:tc>
      </w:tr>
      <w:tr>
        <w:tc>
          <w:tcPr>
            <w:tcW w:type="dxa" w:w="5112"/>
            <w:vAlign w:val="center"/>
          </w:tcPr>
          <w:p>
            <w:r>
              <w:t>CE</w:t>
            </w:r>
          </w:p>
        </w:tc>
        <w:tc>
          <w:tcPr>
            <w:tcW w:type="dxa" w:w="5112"/>
            <w:vAlign w:val="center"/>
          </w:tcPr>
          <w:p>
            <w:r>
              <w:t>Civil Engineering</w:t>
            </w:r>
          </w:p>
        </w:tc>
      </w:tr>
      <w:tr>
        <w:tc>
          <w:tcPr>
            <w:tcW w:type="dxa" w:w="5112"/>
            <w:vAlign w:val="center"/>
          </w:tcPr>
          <w:p>
            <w:r>
              <w:t>CH</w:t>
            </w:r>
          </w:p>
        </w:tc>
        <w:tc>
          <w:tcPr>
            <w:tcW w:type="dxa" w:w="5112"/>
            <w:vAlign w:val="center"/>
          </w:tcPr>
          <w:p>
            <w:r>
              <w:t>Chemical Engineering</w:t>
            </w:r>
          </w:p>
        </w:tc>
      </w:tr>
      <w:tr>
        <w:tc>
          <w:tcPr>
            <w:tcW w:type="dxa" w:w="5112"/>
            <w:vAlign w:val="center"/>
          </w:tcPr>
          <w:p>
            <w:r>
              <w:t>CS</w:t>
            </w:r>
          </w:p>
        </w:tc>
        <w:tc>
          <w:tcPr>
            <w:tcW w:type="dxa" w:w="5112"/>
            <w:vAlign w:val="center"/>
          </w:tcPr>
          <w:p>
            <w:r>
              <w:t>Computer Science &amp; Information Technology</w:t>
            </w:r>
          </w:p>
        </w:tc>
      </w:tr>
      <w:tr>
        <w:tc>
          <w:tcPr>
            <w:tcW w:type="dxa" w:w="5112"/>
            <w:vAlign w:val="center"/>
          </w:tcPr>
          <w:p>
            <w:r>
              <w:t>CY</w:t>
            </w:r>
          </w:p>
        </w:tc>
        <w:tc>
          <w:tcPr>
            <w:tcW w:type="dxa" w:w="5112"/>
            <w:vAlign w:val="center"/>
          </w:tcPr>
          <w:p>
            <w:r>
              <w:t>Chemistry</w:t>
            </w:r>
          </w:p>
        </w:tc>
      </w:tr>
      <w:tr>
        <w:tc>
          <w:tcPr>
            <w:tcW w:type="dxa" w:w="5112"/>
            <w:vAlign w:val="center"/>
          </w:tcPr>
          <w:p>
            <w:r>
              <w:t>DA</w:t>
            </w:r>
          </w:p>
        </w:tc>
        <w:tc>
          <w:tcPr>
            <w:tcW w:type="dxa" w:w="5112"/>
            <w:vAlign w:val="center"/>
          </w:tcPr>
          <w:p>
            <w:r>
              <w:t>Data Science &amp; Artificial Intelligence</w:t>
            </w:r>
          </w:p>
        </w:tc>
      </w:tr>
      <w:tr>
        <w:tc>
          <w:tcPr>
            <w:tcW w:type="dxa" w:w="5112"/>
            <w:vAlign w:val="center"/>
          </w:tcPr>
          <w:p>
            <w:r>
              <w:t>EC</w:t>
            </w:r>
          </w:p>
        </w:tc>
        <w:tc>
          <w:tcPr>
            <w:tcW w:type="dxa" w:w="5112"/>
            <w:vAlign w:val="center"/>
          </w:tcPr>
          <w:p>
            <w:r>
              <w:t>Electronics &amp; Communication Engineering</w:t>
            </w:r>
          </w:p>
        </w:tc>
      </w:tr>
      <w:tr>
        <w:tc>
          <w:tcPr>
            <w:tcW w:type="dxa" w:w="5112"/>
            <w:vAlign w:val="center"/>
          </w:tcPr>
          <w:p>
            <w:r>
              <w:t>EE</w:t>
            </w:r>
          </w:p>
        </w:tc>
        <w:tc>
          <w:tcPr>
            <w:tcW w:type="dxa" w:w="5112"/>
            <w:vAlign w:val="center"/>
          </w:tcPr>
          <w:p>
            <w:r>
              <w:t>Electrical Engineering</w:t>
            </w:r>
          </w:p>
        </w:tc>
      </w:tr>
      <w:tr>
        <w:tc>
          <w:tcPr>
            <w:tcW w:type="dxa" w:w="5112"/>
            <w:vAlign w:val="center"/>
          </w:tcPr>
          <w:p>
            <w:r>
              <w:t>ES</w:t>
            </w:r>
          </w:p>
        </w:tc>
        <w:tc>
          <w:tcPr>
            <w:tcW w:type="dxa" w:w="5112"/>
            <w:vAlign w:val="center"/>
          </w:tcPr>
          <w:p>
            <w:r>
              <w:t>Environmental Science &amp; Engineering</w:t>
            </w:r>
          </w:p>
        </w:tc>
      </w:tr>
      <w:tr>
        <w:tc>
          <w:tcPr>
            <w:tcW w:type="dxa" w:w="5112"/>
            <w:vAlign w:val="center"/>
          </w:tcPr>
          <w:p>
            <w:r>
              <w:t>EY</w:t>
            </w:r>
          </w:p>
        </w:tc>
        <w:tc>
          <w:tcPr>
            <w:tcW w:type="dxa" w:w="5112"/>
            <w:vAlign w:val="center"/>
          </w:tcPr>
          <w:p>
            <w:r>
              <w:t>Ecology and Evolution</w:t>
            </w:r>
          </w:p>
        </w:tc>
      </w:tr>
      <w:tr>
        <w:tc>
          <w:tcPr>
            <w:tcW w:type="dxa" w:w="5112"/>
            <w:vAlign w:val="center"/>
          </w:tcPr>
          <w:p>
            <w:r>
              <w:t>GE</w:t>
            </w:r>
          </w:p>
        </w:tc>
        <w:tc>
          <w:tcPr>
            <w:tcW w:type="dxa" w:w="5112"/>
            <w:vAlign w:val="center"/>
          </w:tcPr>
          <w:p>
            <w:r>
              <w:t>Geomatics Engineering</w:t>
            </w:r>
          </w:p>
        </w:tc>
      </w:tr>
      <w:tr>
        <w:tc>
          <w:tcPr>
            <w:tcW w:type="dxa" w:w="5112"/>
            <w:vAlign w:val="center"/>
          </w:tcPr>
          <w:p>
            <w:r>
              <w:t>GG</w:t>
            </w:r>
          </w:p>
        </w:tc>
        <w:tc>
          <w:tcPr>
            <w:tcW w:type="dxa" w:w="5112"/>
            <w:vAlign w:val="center"/>
          </w:tcPr>
          <w:p>
            <w:r>
              <w:t>Geology &amp; Geophysics</w:t>
            </w:r>
          </w:p>
        </w:tc>
      </w:tr>
      <w:tr>
        <w:tc>
          <w:tcPr>
            <w:tcW w:type="dxa" w:w="5112"/>
            <w:vAlign w:val="center"/>
          </w:tcPr>
          <w:p>
            <w:r>
              <w:t>IN</w:t>
            </w:r>
          </w:p>
        </w:tc>
        <w:tc>
          <w:tcPr>
            <w:tcW w:type="dxa" w:w="5112"/>
            <w:vAlign w:val="center"/>
          </w:tcPr>
          <w:p>
            <w:r>
              <w:t>Instrumentation Engineering</w:t>
            </w:r>
          </w:p>
        </w:tc>
      </w:tr>
      <w:tr>
        <w:tc>
          <w:tcPr>
            <w:tcW w:type="dxa" w:w="5112"/>
            <w:vAlign w:val="center"/>
          </w:tcPr>
          <w:p>
            <w:r>
              <w:t>MA</w:t>
            </w:r>
          </w:p>
        </w:tc>
        <w:tc>
          <w:tcPr>
            <w:tcW w:type="dxa" w:w="5112"/>
            <w:vAlign w:val="center"/>
          </w:tcPr>
          <w:p>
            <w:r>
              <w:t>Mathematics</w:t>
            </w:r>
          </w:p>
        </w:tc>
      </w:tr>
      <w:tr>
        <w:tc>
          <w:tcPr>
            <w:tcW w:type="dxa" w:w="5112"/>
            <w:vAlign w:val="center"/>
          </w:tcPr>
          <w:p>
            <w:r>
              <w:t>ME</w:t>
            </w:r>
          </w:p>
        </w:tc>
        <w:tc>
          <w:tcPr>
            <w:tcW w:type="dxa" w:w="5112"/>
            <w:vAlign w:val="center"/>
          </w:tcPr>
          <w:p>
            <w:r>
              <w:t>Mechanical Engineering</w:t>
            </w:r>
          </w:p>
        </w:tc>
      </w:tr>
      <w:tr>
        <w:tc>
          <w:tcPr>
            <w:tcW w:type="dxa" w:w="5112"/>
            <w:vAlign w:val="center"/>
          </w:tcPr>
          <w:p>
            <w:r>
              <w:t>MN</w:t>
            </w:r>
          </w:p>
        </w:tc>
        <w:tc>
          <w:tcPr>
            <w:tcW w:type="dxa" w:w="5112"/>
            <w:vAlign w:val="center"/>
          </w:tcPr>
          <w:p>
            <w:r>
              <w:t>Mining Engineering</w:t>
            </w:r>
          </w:p>
        </w:tc>
      </w:tr>
      <w:tr>
        <w:tc>
          <w:tcPr>
            <w:tcW w:type="dxa" w:w="5112"/>
            <w:vAlign w:val="center"/>
          </w:tcPr>
          <w:p>
            <w:r>
              <w:t>MT</w:t>
            </w:r>
          </w:p>
        </w:tc>
        <w:tc>
          <w:tcPr>
            <w:tcW w:type="dxa" w:w="5112"/>
            <w:vAlign w:val="center"/>
          </w:tcPr>
          <w:p>
            <w:r>
              <w:t>Metallurgical Engineering</w:t>
            </w:r>
          </w:p>
        </w:tc>
      </w:tr>
      <w:tr>
        <w:tc>
          <w:tcPr>
            <w:tcW w:type="dxa" w:w="5112"/>
            <w:vAlign w:val="center"/>
          </w:tcPr>
          <w:p>
            <w:r>
              <w:t>NM</w:t>
            </w:r>
          </w:p>
        </w:tc>
        <w:tc>
          <w:tcPr>
            <w:tcW w:type="dxa" w:w="5112"/>
            <w:vAlign w:val="center"/>
          </w:tcPr>
          <w:p>
            <w:r>
              <w:t>Naval Architecture &amp; Marine Engineering</w:t>
            </w:r>
          </w:p>
        </w:tc>
      </w:tr>
      <w:tr>
        <w:tc>
          <w:tcPr>
            <w:tcW w:type="dxa" w:w="5112"/>
            <w:vAlign w:val="center"/>
          </w:tcPr>
          <w:p>
            <w:r>
              <w:t>PE</w:t>
            </w:r>
          </w:p>
        </w:tc>
        <w:tc>
          <w:tcPr>
            <w:tcW w:type="dxa" w:w="5112"/>
            <w:vAlign w:val="center"/>
          </w:tcPr>
          <w:p>
            <w:r>
              <w:t>Petroleum Engineering</w:t>
            </w:r>
          </w:p>
        </w:tc>
      </w:tr>
      <w:tr>
        <w:tc>
          <w:tcPr>
            <w:tcW w:type="dxa" w:w="5112"/>
            <w:vAlign w:val="center"/>
          </w:tcPr>
          <w:p>
            <w:r>
              <w:t>PH</w:t>
            </w:r>
          </w:p>
        </w:tc>
        <w:tc>
          <w:tcPr>
            <w:tcW w:type="dxa" w:w="5112"/>
            <w:vAlign w:val="center"/>
          </w:tcPr>
          <w:p>
            <w:r>
              <w:t>Physics</w:t>
            </w:r>
          </w:p>
        </w:tc>
      </w:tr>
      <w:tr>
        <w:tc>
          <w:tcPr>
            <w:tcW w:type="dxa" w:w="5112"/>
            <w:vAlign w:val="center"/>
          </w:tcPr>
          <w:p>
            <w:r>
              <w:t>PI</w:t>
            </w:r>
          </w:p>
        </w:tc>
        <w:tc>
          <w:tcPr>
            <w:tcW w:type="dxa" w:w="5112"/>
            <w:vAlign w:val="center"/>
          </w:tcPr>
          <w:p>
            <w:r>
              <w:t>Production &amp; Industrial Engineering</w:t>
            </w:r>
          </w:p>
        </w:tc>
      </w:tr>
      <w:tr>
        <w:tc>
          <w:tcPr>
            <w:tcW w:type="dxa" w:w="5112"/>
            <w:vAlign w:val="center"/>
          </w:tcPr>
          <w:p>
            <w:r>
              <w:t>RA</w:t>
            </w:r>
          </w:p>
        </w:tc>
        <w:tc>
          <w:tcPr>
            <w:tcW w:type="dxa" w:w="5112"/>
            <w:vAlign w:val="center"/>
          </w:tcPr>
          <w:p>
            <w:r>
              <w:t>Robotics &amp; Automation</w:t>
            </w:r>
          </w:p>
        </w:tc>
      </w:tr>
      <w:tr>
        <w:tc>
          <w:tcPr>
            <w:tcW w:type="dxa" w:w="5112"/>
            <w:vAlign w:val="center"/>
          </w:tcPr>
          <w:p>
            <w:r>
              <w:t>ST</w:t>
            </w:r>
          </w:p>
        </w:tc>
        <w:tc>
          <w:tcPr>
            <w:tcW w:type="dxa" w:w="5112"/>
            <w:vAlign w:val="center"/>
          </w:tcPr>
          <w:p>
            <w:r>
              <w:t>Statistics</w:t>
            </w:r>
          </w:p>
        </w:tc>
      </w:tr>
      <w:tr>
        <w:tc>
          <w:tcPr>
            <w:tcW w:type="dxa" w:w="5112"/>
            <w:vAlign w:val="center"/>
          </w:tcPr>
          <w:p>
            <w:r>
              <w:t>XE</w:t>
            </w:r>
          </w:p>
        </w:tc>
        <w:tc>
          <w:tcPr>
            <w:tcW w:type="dxa" w:w="5112"/>
            <w:vAlign w:val="center"/>
          </w:tcPr>
          <w:p>
            <w:r>
              <w:t>Engineering Sciences</w:t>
            </w:r>
          </w:p>
        </w:tc>
      </w:tr>
      <w:tr>
        <w:tc>
          <w:tcPr>
            <w:tcW w:type="dxa" w:w="5112"/>
            <w:vAlign w:val="center"/>
          </w:tcPr>
          <w:p>
            <w:r>
              <w:t>XH</w:t>
            </w:r>
          </w:p>
        </w:tc>
        <w:tc>
          <w:tcPr>
            <w:tcW w:type="dxa" w:w="5112"/>
            <w:vAlign w:val="center"/>
          </w:tcPr>
          <w:p>
            <w:r>
              <w:t>Humanities &amp; Social Sciences</w:t>
            </w:r>
          </w:p>
        </w:tc>
      </w:tr>
      <w:tr>
        <w:tc>
          <w:tcPr>
            <w:tcW w:type="dxa" w:w="5112"/>
            <w:vAlign w:val="center"/>
          </w:tcPr>
          <w:p>
            <w:r>
              <w:t>XL</w:t>
            </w:r>
          </w:p>
        </w:tc>
        <w:tc>
          <w:tcPr>
            <w:tcW w:type="dxa" w:w="5112"/>
            <w:vAlign w:val="center"/>
          </w:tcPr>
          <w:p>
            <w:r>
              <w:t>Life Sciences</w:t>
            </w:r>
          </w:p>
        </w:tc>
      </w:tr>
    </w:tbl>
    <w:p>
      <w:r>
        <w:rPr>
          <w:b/>
          <w:color w:val="245B7A"/>
          <w:sz w:val="26"/>
        </w:rPr>
        <w:t>For CSE: the main paper is CS</w:t>
      </w:r>
    </w:p>
    <w:p>
      <w:r>
        <w:t>CS means Computer Science &amp; Information Technology. For most CSE students targeting computer science, AI, systems, security, software, data and related postgraduate programs, CS is the most directly aligned paper. Exact eligibility depends on the target program.</w:t>
      </w:r>
    </w:p>
    <w:p>
      <w:r>
        <w:rPr>
          <w:b/>
          <w:color w:val="245B7A"/>
          <w:sz w:val="26"/>
        </w:rPr>
        <w:t>Allowed second-paper combinations with CS</w:t>
      </w:r>
    </w:p>
    <w:tbl>
      <w:tblPr>
        <w:tblStyle w:val="TableGrid"/>
        <w:tblW w:type="auto" w:w="0"/>
        <w:jc w:val="center"/>
        <w:tblLook w:firstColumn="1" w:firstRow="1" w:lastColumn="0" w:lastRow="0" w:noHBand="0" w:noVBand="1" w:val="04A0"/>
      </w:tblPr>
      <w:tblGrid>
        <w:gridCol w:w="5112"/>
        <w:gridCol w:w="5112"/>
      </w:tblGrid>
      <w:tr>
        <w:tc>
          <w:tcPr>
            <w:tcW w:type="dxa" w:w="5112"/>
            <w:shd w:fill="16324F"/>
          </w:tcPr>
          <w:p>
            <w:r>
              <w:rPr>
                <w:b/>
                <w:color w:val="FFFFFF"/>
              </w:rPr>
              <w:t>Combination</w:t>
            </w:r>
          </w:p>
        </w:tc>
        <w:tc>
          <w:tcPr>
            <w:tcW w:type="dxa" w:w="5112"/>
            <w:shd w:fill="16324F"/>
          </w:tcPr>
          <w:p>
            <w:r>
              <w:rPr>
                <w:b/>
                <w:color w:val="FFFFFF"/>
              </w:rPr>
              <w:t>Meaning</w:t>
            </w:r>
          </w:p>
        </w:tc>
      </w:tr>
      <w:tr>
        <w:tc>
          <w:tcPr>
            <w:tcW w:type="dxa" w:w="5112"/>
            <w:vAlign w:val="center"/>
          </w:tcPr>
          <w:p>
            <w:r>
              <w:t>CS + DA</w:t>
            </w:r>
          </w:p>
        </w:tc>
        <w:tc>
          <w:tcPr>
            <w:tcW w:type="dxa" w:w="5112"/>
            <w:vAlign w:val="center"/>
          </w:tcPr>
          <w:p>
            <w:r>
              <w:t>Computer Science + Data Science &amp; AI</w:t>
            </w:r>
          </w:p>
        </w:tc>
      </w:tr>
      <w:tr>
        <w:tc>
          <w:tcPr>
            <w:tcW w:type="dxa" w:w="5112"/>
            <w:vAlign w:val="center"/>
          </w:tcPr>
          <w:p>
            <w:r>
              <w:t>CS + EC</w:t>
            </w:r>
          </w:p>
        </w:tc>
        <w:tc>
          <w:tcPr>
            <w:tcW w:type="dxa" w:w="5112"/>
            <w:vAlign w:val="center"/>
          </w:tcPr>
          <w:p>
            <w:r>
              <w:t>Computer Science + Electronics &amp; Communication</w:t>
            </w:r>
          </w:p>
        </w:tc>
      </w:tr>
      <w:tr>
        <w:tc>
          <w:tcPr>
            <w:tcW w:type="dxa" w:w="5112"/>
            <w:vAlign w:val="center"/>
          </w:tcPr>
          <w:p>
            <w:r>
              <w:t>CS + GE</w:t>
            </w:r>
          </w:p>
        </w:tc>
        <w:tc>
          <w:tcPr>
            <w:tcW w:type="dxa" w:w="5112"/>
            <w:vAlign w:val="center"/>
          </w:tcPr>
          <w:p>
            <w:r>
              <w:t>Computer Science + Geomatics Engineering</w:t>
            </w:r>
          </w:p>
        </w:tc>
      </w:tr>
      <w:tr>
        <w:tc>
          <w:tcPr>
            <w:tcW w:type="dxa" w:w="5112"/>
            <w:vAlign w:val="center"/>
          </w:tcPr>
          <w:p>
            <w:r>
              <w:t>CS + MA</w:t>
            </w:r>
          </w:p>
        </w:tc>
        <w:tc>
          <w:tcPr>
            <w:tcW w:type="dxa" w:w="5112"/>
            <w:vAlign w:val="center"/>
          </w:tcPr>
          <w:p>
            <w:r>
              <w:t>Computer Science + Mathematics</w:t>
            </w:r>
          </w:p>
        </w:tc>
      </w:tr>
      <w:tr>
        <w:tc>
          <w:tcPr>
            <w:tcW w:type="dxa" w:w="5112"/>
            <w:vAlign w:val="center"/>
          </w:tcPr>
          <w:p>
            <w:r>
              <w:t>CS + PH</w:t>
            </w:r>
          </w:p>
        </w:tc>
        <w:tc>
          <w:tcPr>
            <w:tcW w:type="dxa" w:w="5112"/>
            <w:vAlign w:val="center"/>
          </w:tcPr>
          <w:p>
            <w:r>
              <w:t>Computer Science + Physics</w:t>
            </w:r>
          </w:p>
        </w:tc>
      </w:tr>
      <w:tr>
        <w:tc>
          <w:tcPr>
            <w:tcW w:type="dxa" w:w="5112"/>
            <w:vAlign w:val="center"/>
          </w:tcPr>
          <w:p>
            <w:r>
              <w:t>CS + ST</w:t>
            </w:r>
          </w:p>
        </w:tc>
        <w:tc>
          <w:tcPr>
            <w:tcW w:type="dxa" w:w="5112"/>
            <w:vAlign w:val="center"/>
          </w:tcPr>
          <w:p>
            <w:r>
              <w:t>Computer Science + Statistics</w:t>
            </w:r>
          </w:p>
        </w:tc>
      </w:tr>
    </w:tbl>
    <w:p>
      <w:r>
        <w:rPr>
          <w:b/>
          <w:color w:val="16324F"/>
          <w:sz w:val="36"/>
        </w:rPr>
        <w:t>3. GATE paper pattern</w:t>
      </w:r>
    </w:p>
    <w:tbl>
      <w:tblPr>
        <w:tblStyle w:val="TableGrid"/>
        <w:tblW w:type="auto" w:w="0"/>
        <w:jc w:val="center"/>
        <w:tblLook w:firstColumn="1" w:firstRow="1" w:lastColumn="0" w:lastRow="0" w:noHBand="0" w:noVBand="1" w:val="04A0"/>
      </w:tblPr>
      <w:tblGrid>
        <w:gridCol w:w="5112"/>
        <w:gridCol w:w="5112"/>
      </w:tblGrid>
      <w:tr>
        <w:tc>
          <w:tcPr>
            <w:tcW w:type="dxa" w:w="5112"/>
            <w:shd w:fill="16324F"/>
          </w:tcPr>
          <w:p>
            <w:r>
              <w:rPr>
                <w:b/>
                <w:color w:val="FFFFFF"/>
              </w:rPr>
              <w:t>Item</w:t>
            </w:r>
          </w:p>
        </w:tc>
        <w:tc>
          <w:tcPr>
            <w:tcW w:type="dxa" w:w="5112"/>
            <w:shd w:fill="16324F"/>
          </w:tcPr>
          <w:p>
            <w:r>
              <w:rPr>
                <w:b/>
                <w:color w:val="FFFFFF"/>
              </w:rPr>
              <w:t>GATE 2027 structure</w:t>
            </w:r>
          </w:p>
        </w:tc>
      </w:tr>
      <w:tr>
        <w:tc>
          <w:tcPr>
            <w:tcW w:type="dxa" w:w="5112"/>
            <w:vAlign w:val="center"/>
          </w:tcPr>
          <w:p>
            <w:r>
              <w:t>Total marks</w:t>
            </w:r>
          </w:p>
        </w:tc>
        <w:tc>
          <w:tcPr>
            <w:tcW w:type="dxa" w:w="5112"/>
            <w:vAlign w:val="center"/>
          </w:tcPr>
          <w:p>
            <w:r>
              <w:t>100</w:t>
            </w:r>
          </w:p>
        </w:tc>
      </w:tr>
      <w:tr>
        <w:tc>
          <w:tcPr>
            <w:tcW w:type="dxa" w:w="5112"/>
            <w:vAlign w:val="center"/>
          </w:tcPr>
          <w:p>
            <w:r>
              <w:t>General Aptitude</w:t>
            </w:r>
          </w:p>
        </w:tc>
        <w:tc>
          <w:tcPr>
            <w:tcW w:type="dxa" w:w="5112"/>
            <w:vAlign w:val="center"/>
          </w:tcPr>
          <w:p>
            <w:r>
              <w:t>15 marks</w:t>
            </w:r>
          </w:p>
        </w:tc>
      </w:tr>
      <w:tr>
        <w:tc>
          <w:tcPr>
            <w:tcW w:type="dxa" w:w="5112"/>
            <w:vAlign w:val="center"/>
          </w:tcPr>
          <w:p>
            <w:r>
              <w:t>Subject portion</w:t>
            </w:r>
          </w:p>
        </w:tc>
        <w:tc>
          <w:tcPr>
            <w:tcW w:type="dxa" w:w="5112"/>
            <w:vAlign w:val="center"/>
          </w:tcPr>
          <w:p>
            <w:r>
              <w:t>85 marks</w:t>
            </w:r>
          </w:p>
        </w:tc>
      </w:tr>
      <w:tr>
        <w:tc>
          <w:tcPr>
            <w:tcW w:type="dxa" w:w="5112"/>
            <w:vAlign w:val="center"/>
          </w:tcPr>
          <w:p>
            <w:r>
              <w:t>Question types</w:t>
            </w:r>
          </w:p>
        </w:tc>
        <w:tc>
          <w:tcPr>
            <w:tcW w:type="dxa" w:w="5112"/>
            <w:vAlign w:val="center"/>
          </w:tcPr>
          <w:p>
            <w:r>
              <w:t>MCQ, MSQ and NAT</w:t>
            </w:r>
          </w:p>
        </w:tc>
      </w:tr>
      <w:tr>
        <w:tc>
          <w:tcPr>
            <w:tcW w:type="dxa" w:w="5112"/>
            <w:vAlign w:val="center"/>
          </w:tcPr>
          <w:p>
            <w:r>
              <w:t>Duration</w:t>
            </w:r>
          </w:p>
        </w:tc>
        <w:tc>
          <w:tcPr>
            <w:tcW w:type="dxa" w:w="5112"/>
            <w:vAlign w:val="center"/>
          </w:tcPr>
          <w:p>
            <w:r>
              <w:t>3 hours</w:t>
            </w:r>
          </w:p>
        </w:tc>
      </w:tr>
      <w:tr>
        <w:tc>
          <w:tcPr>
            <w:tcW w:type="dxa" w:w="5112"/>
            <w:vAlign w:val="center"/>
          </w:tcPr>
          <w:p>
            <w:r>
              <w:t>Negative marking</w:t>
            </w:r>
          </w:p>
        </w:tc>
        <w:tc>
          <w:tcPr>
            <w:tcW w:type="dxa" w:w="5112"/>
            <w:vAlign w:val="center"/>
          </w:tcPr>
          <w:p>
            <w:r>
              <w:t>MCQ only: 1/3 for wrong 1-mark MCQ and 2/3 for wrong 2-mark MCQ. No negative marking for wrong MSQ/NAT answers.</w:t>
            </w:r>
          </w:p>
        </w:tc>
      </w:tr>
      <w:tr>
        <w:tc>
          <w:tcPr>
            <w:tcW w:type="dxa" w:w="5112"/>
            <w:vAlign w:val="center"/>
          </w:tcPr>
          <w:p>
            <w:r>
              <w:t>Language</w:t>
            </w:r>
          </w:p>
        </w:tc>
        <w:tc>
          <w:tcPr>
            <w:tcW w:type="dxa" w:w="5112"/>
            <w:vAlign w:val="center"/>
          </w:tcPr>
          <w:p>
            <w:r>
              <w:t>English</w:t>
            </w:r>
          </w:p>
        </w:tc>
      </w:tr>
    </w:tbl>
    <w:p>
      <w:r>
        <w:t>For CS, use the official 2027 CS syllabus as the final authority. Core areas include mathematics, digital logic, COA, programming/data structures, algorithms, TOC, compiler, OS, DBMS and computer networks.</w:t>
      </w:r>
    </w:p>
    <w:p>
      <w:r>
        <w:rPr>
          <w:b/>
          <w:color w:val="16324F"/>
          <w:sz w:val="36"/>
        </w:rPr>
        <w:t>4. Eligibility and 2nd-year CSE timeline</w:t>
      </w:r>
    </w:p>
    <w:p>
      <w:r>
        <w:t>Current official GATE rules allow candidates who are studying in the 3rd year or higher of an eligible undergraduate degree program to appear. There is no age limit.</w:t>
      </w:r>
    </w:p>
    <w:p>
      <w:r>
        <w:t>If you are currently in 2nd year of a standard 4-year B.Tech CSE program, you would normally become eligible after entering 3rd year. Use 2nd year to build fundamentals and PYQ familiarity, then move into full-syllabus preparation.</w:t>
      </w:r>
    </w:p>
    <w:p>
      <w:r>
        <w:rPr>
          <w:b/>
          <w:color w:val="245B7A"/>
          <w:sz w:val="26"/>
        </w:rPr>
        <w:t>Typical application items</w:t>
      </w:r>
    </w:p>
    <w:p>
      <w:r>
        <w:t>Application details include degree information, paper choice, exam-city choices, photograph, signature and valid photo ID. Category/PwD documents are required where applicable.</w:t>
      </w:r>
    </w:p>
    <w:p>
      <w:r>
        <w:rPr>
          <w:b/>
          <w:color w:val="16324F"/>
          <w:sz w:val="36"/>
        </w:rPr>
        <w:t>5. How admissions work after GATE</w:t>
      </w:r>
    </w:p>
    <w:p>
      <w:r>
        <w:t>GATE is the exam/score, not one universal admission form.</w:t>
      </w:r>
    </w:p>
    <w:p>
      <w:r>
        <w:t>Step 1 - Take GATE and obtain a valid score/rank.</w:t>
      </w:r>
    </w:p>
    <w:p>
      <w:r>
        <w:t>Step 2 - Identify programs whose qualifying degree and accepted GATE paper match your profile.</w:t>
      </w:r>
    </w:p>
    <w:p>
      <w:r>
        <w:t>Step 3 - Apply separately to institutes where required.</w:t>
      </w:r>
    </w:p>
    <w:p>
      <w:r>
        <w:t>Step 4 - Use COAP for offers from participating IIT/IISc-side M.Tech institutes, where applicable.</w:t>
      </w:r>
    </w:p>
    <w:p>
      <w:r>
        <w:t>Step 5 - Use CCMT for participating NITs, IIEST, IIITs and CFTIs, where applicable.</w:t>
      </w:r>
    </w:p>
    <w:p>
      <w:r>
        <w:t>Step 6 - Follow each institute's interview/test/shortlisting/acceptance rules.</w:t>
      </w:r>
    </w:p>
    <w:p>
      <w:r>
        <w:rPr>
          <w:b/>
          <w:color w:val="245B7A"/>
          <w:sz w:val="26"/>
        </w:rPr>
        <w:t>COAP</w:t>
      </w:r>
    </w:p>
    <w:p>
      <w:r>
        <w:t>COAP is the Common Offer Acceptance Portal. Candidates apply separately to participating institutes; COAP is used to view and choose among applicable offers.</w:t>
      </w:r>
    </w:p>
    <w:p>
      <w:r>
        <w:rPr>
          <w:b/>
          <w:color w:val="245B7A"/>
          <w:sz w:val="26"/>
        </w:rPr>
        <w:t>CCMT</w:t>
      </w:r>
    </w:p>
    <w:p>
      <w:r>
        <w:t>CCMT is centralized counselling for M.Tech/M.Arch/M.Plan admissions in participating NITs, IIEST Shibpur, some IIITs and CFTIs.</w:t>
      </w:r>
    </w:p>
    <w:p>
      <w:r>
        <w:rPr>
          <w:b/>
          <w:color w:val="16324F"/>
          <w:sz w:val="36"/>
        </w:rPr>
        <w:t>6. PSU recruitment through GATE</w:t>
      </w:r>
    </w:p>
    <w:p>
      <w:r>
        <w:t>The official GATE 2027 opportunities page lists many PSUs that have used GATE scores. This list is non-exhaustive. Participation, eligible papers, score-year requirements, vacancies and selection stages can change.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24F"/>
          </w:tcPr>
          <w:p>
            <w:r>
              <w:rPr>
                <w:b/>
                <w:color w:val="FFFFFF"/>
              </w:rPr>
              <w:t>PSU / organization</w:t>
            </w:r>
          </w:p>
        </w:tc>
        <w:tc>
          <w:tcPr>
            <w:tcW w:type="dxa" w:w="3408"/>
            <w:shd w:fill="16324F"/>
          </w:tcPr>
          <w:p>
            <w:r>
              <w:rPr>
                <w:b/>
                <w:color w:val="FFFFFF"/>
              </w:rPr>
              <w:t>PSU / organization</w:t>
            </w:r>
          </w:p>
        </w:tc>
        <w:tc>
          <w:tcPr>
            <w:tcW w:type="dxa" w:w="3408"/>
            <w:shd w:fill="16324F"/>
          </w:tcPr>
          <w:p>
            <w:r>
              <w:rPr>
                <w:b/>
                <w:color w:val="FFFFFF"/>
              </w:rPr>
              <w:t>PSU / organization</w:t>
            </w:r>
          </w:p>
        </w:tc>
      </w:tr>
      <w:tr>
        <w:tc>
          <w:tcPr>
            <w:tcW w:type="dxa" w:w="3408"/>
            <w:vAlign w:val="center"/>
          </w:tcPr>
          <w:p>
            <w:r>
              <w:t>AAI</w:t>
            </w:r>
          </w:p>
        </w:tc>
        <w:tc>
          <w:tcPr>
            <w:tcW w:type="dxa" w:w="3408"/>
            <w:vAlign w:val="center"/>
          </w:tcPr>
          <w:p>
            <w:r>
              <w:t>BHEL</w:t>
            </w:r>
          </w:p>
        </w:tc>
        <w:tc>
          <w:tcPr>
            <w:tcW w:type="dxa" w:w="3408"/>
            <w:vAlign w:val="center"/>
          </w:tcPr>
          <w:p>
            <w:r>
              <w:t>BSNL</w:t>
            </w:r>
          </w:p>
        </w:tc>
      </w:tr>
      <w:tr>
        <w:tc>
          <w:tcPr>
            <w:tcW w:type="dxa" w:w="3408"/>
            <w:vAlign w:val="center"/>
          </w:tcPr>
          <w:p>
            <w:r>
              <w:t>CIL</w:t>
            </w:r>
          </w:p>
        </w:tc>
        <w:tc>
          <w:tcPr>
            <w:tcW w:type="dxa" w:w="3408"/>
            <w:vAlign w:val="center"/>
          </w:tcPr>
          <w:p>
            <w:r>
              <w:t>CRIS</w:t>
            </w:r>
          </w:p>
        </w:tc>
        <w:tc>
          <w:tcPr>
            <w:tcW w:type="dxa" w:w="3408"/>
            <w:vAlign w:val="center"/>
          </w:tcPr>
          <w:p>
            <w:r>
              <w:t>CVPPL</w:t>
            </w:r>
          </w:p>
        </w:tc>
      </w:tr>
      <w:tr>
        <w:tc>
          <w:tcPr>
            <w:tcW w:type="dxa" w:w="3408"/>
            <w:vAlign w:val="center"/>
          </w:tcPr>
          <w:p>
            <w:r>
              <w:t>DVC</w:t>
            </w:r>
          </w:p>
        </w:tc>
        <w:tc>
          <w:tcPr>
            <w:tcW w:type="dxa" w:w="3408"/>
            <w:vAlign w:val="center"/>
          </w:tcPr>
          <w:p>
            <w:r>
              <w:t>ECIL</w:t>
            </w:r>
          </w:p>
        </w:tc>
        <w:tc>
          <w:tcPr>
            <w:tcW w:type="dxa" w:w="3408"/>
            <w:vAlign w:val="center"/>
          </w:tcPr>
          <w:p>
            <w:r>
              <w:t>EIL</w:t>
            </w:r>
          </w:p>
        </w:tc>
      </w:tr>
      <w:tr>
        <w:tc>
          <w:tcPr>
            <w:tcW w:type="dxa" w:w="3408"/>
            <w:vAlign w:val="center"/>
          </w:tcPr>
          <w:p>
            <w:r>
              <w:t>GAIL</w:t>
            </w:r>
          </w:p>
        </w:tc>
        <w:tc>
          <w:tcPr>
            <w:tcW w:type="dxa" w:w="3408"/>
            <w:vAlign w:val="center"/>
          </w:tcPr>
          <w:p>
            <w:r>
              <w:t>HAL</w:t>
            </w:r>
          </w:p>
        </w:tc>
        <w:tc>
          <w:tcPr>
            <w:tcW w:type="dxa" w:w="3408"/>
            <w:vAlign w:val="center"/>
          </w:tcPr>
          <w:p>
            <w:r>
              <w:t>IOCL</w:t>
            </w:r>
          </w:p>
        </w:tc>
      </w:tr>
      <w:tr>
        <w:tc>
          <w:tcPr>
            <w:tcW w:type="dxa" w:w="3408"/>
            <w:vAlign w:val="center"/>
          </w:tcPr>
          <w:p>
            <w:r>
              <w:t>MDSL</w:t>
            </w:r>
          </w:p>
        </w:tc>
        <w:tc>
          <w:tcPr>
            <w:tcW w:type="dxa" w:w="3408"/>
            <w:vAlign w:val="center"/>
          </w:tcPr>
          <w:p>
            <w:r>
              <w:t>NALCO</w:t>
            </w:r>
          </w:p>
        </w:tc>
        <w:tc>
          <w:tcPr>
            <w:tcW w:type="dxa" w:w="3408"/>
            <w:vAlign w:val="center"/>
          </w:tcPr>
          <w:p>
            <w:r>
              <w:t>NHAI</w:t>
            </w:r>
          </w:p>
        </w:tc>
      </w:tr>
      <w:tr>
        <w:tc>
          <w:tcPr>
            <w:tcW w:type="dxa" w:w="3408"/>
            <w:vAlign w:val="center"/>
          </w:tcPr>
          <w:p>
            <w:r>
              <w:t>NLCIL</w:t>
            </w:r>
          </w:p>
        </w:tc>
        <w:tc>
          <w:tcPr>
            <w:tcW w:type="dxa" w:w="3408"/>
            <w:vAlign w:val="center"/>
          </w:tcPr>
          <w:p>
            <w:r>
              <w:t>NMDC</w:t>
            </w:r>
          </w:p>
        </w:tc>
        <w:tc>
          <w:tcPr>
            <w:tcW w:type="dxa" w:w="3408"/>
            <w:vAlign w:val="center"/>
          </w:tcPr>
          <w:p>
            <w:r>
              <w:t>NPCIL</w:t>
            </w:r>
          </w:p>
        </w:tc>
      </w:tr>
      <w:tr>
        <w:tc>
          <w:tcPr>
            <w:tcW w:type="dxa" w:w="3408"/>
            <w:vAlign w:val="center"/>
          </w:tcPr>
          <w:p>
            <w:r>
              <w:t>NTPC</w:t>
            </w:r>
          </w:p>
        </w:tc>
        <w:tc>
          <w:tcPr>
            <w:tcW w:type="dxa" w:w="3408"/>
            <w:vAlign w:val="center"/>
          </w:tcPr>
          <w:p>
            <w:r>
              <w:t>OPGC</w:t>
            </w:r>
          </w:p>
        </w:tc>
        <w:tc>
          <w:tcPr>
            <w:tcW w:type="dxa" w:w="3408"/>
            <w:vAlign w:val="center"/>
          </w:tcPr>
          <w:p>
            <w:r>
              <w:t>ONGC</w:t>
            </w:r>
          </w:p>
        </w:tc>
      </w:tr>
      <w:tr>
        <w:tc>
          <w:tcPr>
            <w:tcW w:type="dxa" w:w="3408"/>
            <w:vAlign w:val="center"/>
          </w:tcPr>
          <w:p>
            <w:r>
              <w:t>POWERGRID</w:t>
            </w:r>
          </w:p>
        </w:tc>
        <w:tc>
          <w:tcPr>
            <w:tcW w:type="dxa" w:w="3408"/>
            <w:vAlign w:val="center"/>
          </w:tcPr>
          <w:p>
            <w:r>
              <w:t>GRID-INDIA</w:t>
            </w:r>
          </w:p>
        </w:tc>
        <w:tc>
          <w:tcPr>
            <w:tcW w:type="dxa" w:w="3408"/>
            <w:vAlign w:val="center"/>
          </w:tcPr>
          <w:p>
            <w:r>
              <w:t>RINL</w:t>
            </w:r>
          </w:p>
        </w:tc>
      </w:tr>
      <w:tr>
        <w:tc>
          <w:tcPr>
            <w:tcW w:type="dxa" w:w="3408"/>
            <w:vAlign w:val="center"/>
          </w:tcPr>
          <w:p>
            <w:r>
              <w:t>SAIL</w:t>
            </w:r>
          </w:p>
        </w:tc>
        <w:tc>
          <w:tcPr>
            <w:tcW w:type="dxa" w:w="3408"/>
            <w:vAlign w:val="center"/>
          </w:tcPr>
          <w:p>
            <w:r/>
          </w:p>
        </w:tc>
        <w:tc>
          <w:tcPr>
            <w:tcW w:type="dxa" w:w="3408"/>
            <w:vAlign w:val="center"/>
          </w:tcPr>
          <w:p>
            <w:r/>
          </w:p>
        </w:tc>
      </w:tr>
    </w:tbl>
    <w:p>
      <w:r>
        <w:t>For CSE, never assume that every listed PSU recruits CSE/IT through GATE in every year. Read the specific PSU recruitment notice.</w:t>
      </w:r>
    </w:p>
    <w:p>
      <w:r>
        <w:rPr>
          <w:b/>
          <w:color w:val="16324F"/>
          <w:sz w:val="36"/>
        </w:rPr>
        <w:t>7. Foreign universities and other institutes</w:t>
      </w:r>
    </w:p>
    <w:p>
      <w:r>
        <w:t>Some universities/institutes outside India may accept GATE. Acceptance is not universal. Check the target institution's official admissions page for the exact program, accepted paper, minimum score and validity.</w:t>
      </w:r>
    </w:p>
    <w:p>
      <w:r>
        <w:rPr>
          <w:b/>
          <w:color w:val="16324F"/>
          <w:sz w:val="36"/>
        </w:rPr>
        <w:t>8. Recommended roadmap for a 2nd-year CSE student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6324F"/>
          </w:tcPr>
          <w:p>
            <w:r>
              <w:rPr>
                <w:b/>
                <w:color w:val="FFFFFF"/>
              </w:rPr>
              <w:t>Stage</w:t>
            </w:r>
          </w:p>
        </w:tc>
        <w:tc>
          <w:tcPr>
            <w:tcW w:type="dxa" w:w="3408"/>
            <w:shd w:fill="16324F"/>
          </w:tcPr>
          <w:p>
            <w:r>
              <w:rPr>
                <w:b/>
                <w:color w:val="FFFFFF"/>
              </w:rPr>
              <w:t>Focus</w:t>
            </w:r>
          </w:p>
        </w:tc>
        <w:tc>
          <w:tcPr>
            <w:tcW w:type="dxa" w:w="3408"/>
            <w:shd w:fill="16324F"/>
          </w:tcPr>
          <w:p>
            <w:r>
              <w:rPr>
                <w:b/>
                <w:color w:val="FFFFFF"/>
              </w:rPr>
              <w:t>Target outcome</w:t>
            </w:r>
          </w:p>
        </w:tc>
      </w:tr>
      <w:tr>
        <w:tc>
          <w:tcPr>
            <w:tcW w:type="dxa" w:w="3408"/>
            <w:vAlign w:val="center"/>
          </w:tcPr>
          <w:p>
            <w:r>
              <w:t>2nd year</w:t>
            </w:r>
          </w:p>
        </w:tc>
        <w:tc>
          <w:tcPr>
            <w:tcW w:type="dxa" w:w="3408"/>
            <w:vAlign w:val="center"/>
          </w:tcPr>
          <w:p>
            <w:r>
              <w:t>Programming, Data Structures, Discrete Mathematics, Digital Logic, basic COA; start GATE-style questions.</w:t>
            </w:r>
          </w:p>
        </w:tc>
        <w:tc>
          <w:tcPr>
            <w:tcW w:type="dxa" w:w="3408"/>
            <w:vAlign w:val="center"/>
          </w:tcPr>
          <w:p>
            <w:r>
              <w:t>Build fundamentals.</w:t>
            </w:r>
          </w:p>
        </w:tc>
      </w:tr>
      <w:tr>
        <w:tc>
          <w:tcPr>
            <w:tcW w:type="dxa" w:w="3408"/>
            <w:vAlign w:val="center"/>
          </w:tcPr>
          <w:p>
            <w:r>
              <w:t>Break</w:t>
            </w:r>
          </w:p>
        </w:tc>
        <w:tc>
          <w:tcPr>
            <w:tcW w:type="dxa" w:w="3408"/>
            <w:vAlign w:val="center"/>
          </w:tcPr>
          <w:p>
            <w:r>
              <w:t>Math + core CS revision; topic-wise PYQs.</w:t>
            </w:r>
          </w:p>
        </w:tc>
        <w:tc>
          <w:tcPr>
            <w:tcW w:type="dxa" w:w="3408"/>
            <w:vAlign w:val="center"/>
          </w:tcPr>
          <w:p>
            <w:r>
              <w:t>Recognize recurring concepts.</w:t>
            </w:r>
          </w:p>
        </w:tc>
      </w:tr>
      <w:tr>
        <w:tc>
          <w:tcPr>
            <w:tcW w:type="dxa" w:w="3408"/>
            <w:vAlign w:val="center"/>
          </w:tcPr>
          <w:p>
            <w:r>
              <w:t>3rd year</w:t>
            </w:r>
          </w:p>
        </w:tc>
        <w:tc>
          <w:tcPr>
            <w:tcW w:type="dxa" w:w="3408"/>
            <w:vAlign w:val="center"/>
          </w:tcPr>
          <w:p>
            <w:r>
              <w:t>OS, DBMS, CN, TOC, Compiler, Algorithms + remaining syllabus.</w:t>
            </w:r>
          </w:p>
        </w:tc>
        <w:tc>
          <w:tcPr>
            <w:tcW w:type="dxa" w:w="3408"/>
            <w:vAlign w:val="center"/>
          </w:tcPr>
          <w:p>
            <w:r>
              <w:t>Complete first full pass.</w:t>
            </w:r>
          </w:p>
        </w:tc>
      </w:tr>
      <w:tr>
        <w:tc>
          <w:tcPr>
            <w:tcW w:type="dxa" w:w="3408"/>
            <w:vAlign w:val="center"/>
          </w:tcPr>
          <w:p>
            <w:r>
              <w:t>End 3rd year</w:t>
            </w:r>
          </w:p>
        </w:tc>
        <w:tc>
          <w:tcPr>
            <w:tcW w:type="dxa" w:w="3408"/>
            <w:vAlign w:val="center"/>
          </w:tcPr>
          <w:p>
            <w:r>
              <w:t>Mocks, error log, revision cycles.</w:t>
            </w:r>
          </w:p>
        </w:tc>
        <w:tc>
          <w:tcPr>
            <w:tcW w:type="dxa" w:w="3408"/>
            <w:vAlign w:val="center"/>
          </w:tcPr>
          <w:p>
            <w:r>
              <w:t>Improve speed and accuracy.</w:t>
            </w:r>
          </w:p>
        </w:tc>
      </w:tr>
      <w:tr>
        <w:tc>
          <w:tcPr>
            <w:tcW w:type="dxa" w:w="3408"/>
            <w:vAlign w:val="center"/>
          </w:tcPr>
          <w:p>
            <w:r>
              <w:t>4th year</w:t>
            </w:r>
          </w:p>
        </w:tc>
        <w:tc>
          <w:tcPr>
            <w:tcW w:type="dxa" w:w="3408"/>
            <w:vAlign w:val="center"/>
          </w:tcPr>
          <w:p>
            <w:r>
              <w:t>Final revision + applications + mocks.</w:t>
            </w:r>
          </w:p>
        </w:tc>
        <w:tc>
          <w:tcPr>
            <w:tcW w:type="dxa" w:w="3408"/>
            <w:vAlign w:val="center"/>
          </w:tcPr>
          <w:p>
            <w:r>
              <w:t>Maximize score and keep B.Tech performance strong.</w:t>
            </w:r>
          </w:p>
        </w:tc>
      </w:tr>
    </w:tbl>
    <w:p>
      <w:r>
        <w:t>Default CSE choice: CS. Consider a second paper only if it aligns with your target programs and the current official combination list.</w:t>
      </w:r>
    </w:p>
    <w:p>
      <w:r>
        <w:rPr>
          <w:b/>
          <w:color w:val="16324F"/>
          <w:sz w:val="36"/>
        </w:rPr>
        <w:t>9. GATE 2027 snapshot</w:t>
      </w:r>
    </w:p>
    <w:tbl>
      <w:tblPr>
        <w:tblStyle w:val="TableGrid"/>
        <w:tblW w:type="auto" w:w="0"/>
        <w:jc w:val="center"/>
        <w:tblLook w:firstColumn="1" w:firstRow="1" w:lastColumn="0" w:lastRow="0" w:noHBand="0" w:noVBand="1" w:val="04A0"/>
      </w:tblPr>
      <w:tblGrid>
        <w:gridCol w:w="5112"/>
        <w:gridCol w:w="5112"/>
      </w:tblGrid>
      <w:tr>
        <w:tc>
          <w:tcPr>
            <w:tcW w:type="dxa" w:w="5112"/>
            <w:shd w:fill="16324F"/>
          </w:tcPr>
          <w:p>
            <w:r>
              <w:rPr>
                <w:b/>
                <w:color w:val="FFFFFF"/>
              </w:rPr>
              <w:t>Event</w:t>
            </w:r>
          </w:p>
        </w:tc>
        <w:tc>
          <w:tcPr>
            <w:tcW w:type="dxa" w:w="5112"/>
            <w:shd w:fill="16324F"/>
          </w:tcPr>
          <w:p>
            <w:r>
              <w:rPr>
                <w:b/>
                <w:color w:val="FFFFFF"/>
              </w:rPr>
              <w:t>Current official date</w:t>
            </w:r>
          </w:p>
        </w:tc>
      </w:tr>
      <w:tr>
        <w:tc>
          <w:tcPr>
            <w:tcW w:type="dxa" w:w="5112"/>
            <w:vAlign w:val="center"/>
          </w:tcPr>
          <w:p>
            <w:r>
              <w:t>GOAPS registration opened</w:t>
            </w:r>
          </w:p>
        </w:tc>
        <w:tc>
          <w:tcPr>
            <w:tcW w:type="dxa" w:w="5112"/>
            <w:vAlign w:val="center"/>
          </w:tcPr>
          <w:p>
            <w:r>
              <w:t>2 September 2026</w:t>
            </w:r>
          </w:p>
        </w:tc>
      </w:tr>
      <w:tr>
        <w:tc>
          <w:tcPr>
            <w:tcW w:type="dxa" w:w="5112"/>
            <w:vAlign w:val="center"/>
          </w:tcPr>
          <w:p>
            <w:r>
              <w:t>Regular registration closes</w:t>
            </w:r>
          </w:p>
        </w:tc>
        <w:tc>
          <w:tcPr>
            <w:tcW w:type="dxa" w:w="5112"/>
            <w:vAlign w:val="center"/>
          </w:tcPr>
          <w:p>
            <w:r>
              <w:t>27 September 2026</w:t>
            </w:r>
          </w:p>
        </w:tc>
      </w:tr>
      <w:tr>
        <w:tc>
          <w:tcPr>
            <w:tcW w:type="dxa" w:w="5112"/>
            <w:vAlign w:val="center"/>
          </w:tcPr>
          <w:p>
            <w:r>
              <w:t>Extended registration closes</w:t>
            </w:r>
          </w:p>
        </w:tc>
        <w:tc>
          <w:tcPr>
            <w:tcW w:type="dxa" w:w="5112"/>
            <w:vAlign w:val="center"/>
          </w:tcPr>
          <w:p>
            <w:r>
              <w:t>5 October 2026</w:t>
            </w:r>
          </w:p>
        </w:tc>
      </w:tr>
      <w:tr>
        <w:tc>
          <w:tcPr>
            <w:tcW w:type="dxa" w:w="5112"/>
            <w:vAlign w:val="center"/>
          </w:tcPr>
          <w:p>
            <w:r>
              <w:t>Application rectification</w:t>
            </w:r>
          </w:p>
        </w:tc>
        <w:tc>
          <w:tcPr>
            <w:tcW w:type="dxa" w:w="5112"/>
            <w:vAlign w:val="center"/>
          </w:tcPr>
          <w:p>
            <w:r>
              <w:t>14-21 October 2026</w:t>
            </w:r>
          </w:p>
        </w:tc>
      </w:tr>
      <w:tr>
        <w:tc>
          <w:tcPr>
            <w:tcW w:type="dxa" w:w="5112"/>
            <w:vAlign w:val="center"/>
          </w:tcPr>
          <w:p>
            <w:r>
              <w:t>Exam</w:t>
            </w:r>
          </w:p>
        </w:tc>
        <w:tc>
          <w:tcPr>
            <w:tcW w:type="dxa" w:w="5112"/>
            <w:vAlign w:val="center"/>
          </w:tcPr>
          <w:p>
            <w:r>
              <w:t>6-7, 13-14 and 20-21 February 2027</w:t>
            </w:r>
          </w:p>
        </w:tc>
      </w:tr>
      <w:tr>
        <w:tc>
          <w:tcPr>
            <w:tcW w:type="dxa" w:w="5112"/>
            <w:vAlign w:val="center"/>
          </w:tcPr>
          <w:p>
            <w:r>
              <w:t>Result</w:t>
            </w:r>
          </w:p>
        </w:tc>
        <w:tc>
          <w:tcPr>
            <w:tcW w:type="dxa" w:w="5112"/>
            <w:vAlign w:val="center"/>
          </w:tcPr>
          <w:p>
            <w:r>
              <w:t>19 March 2027</w:t>
            </w:r>
          </w:p>
        </w:tc>
      </w:tr>
    </w:tbl>
    <w:p>
      <w:r>
        <w:t>Dates can change. If you plan a later GATE attempt, treat these as an example calendar rather than a permanent schedule.</w:t>
      </w:r>
    </w:p>
    <w:p>
      <w:r>
        <w:rPr>
          <w:b/>
          <w:color w:val="16324F"/>
          <w:sz w:val="36"/>
        </w:rPr>
        <w:t>10. Official links</w:t>
      </w:r>
    </w:p>
    <w:p>
      <w:r>
        <w:rPr>
          <w:b/>
        </w:rPr>
        <w:t xml:space="preserve">GATE 2027 Official Website: </w:t>
      </w:r>
      <w:r>
        <w:t>https://gate2027.iitm.ac.in/</w:t>
      </w:r>
    </w:p>
    <w:p>
      <w:r>
        <w:rPr>
          <w:b/>
        </w:rPr>
        <w:t xml:space="preserve">GATE 2027 Test Papers &amp; Syllabus: </w:t>
      </w:r>
      <w:r>
        <w:t>https://gate2027.iitm.ac.in/exam_papers_and_syllabus</w:t>
      </w:r>
    </w:p>
    <w:p>
      <w:r>
        <w:rPr>
          <w:b/>
        </w:rPr>
        <w:t xml:space="preserve">GATE 2027 Opportunities: </w:t>
      </w:r>
      <w:r>
        <w:t>https://gate2027.iitm.ac.in/opportunities</w:t>
      </w:r>
    </w:p>
    <w:p>
      <w:r>
        <w:rPr>
          <w:b/>
        </w:rPr>
        <w:t xml:space="preserve">GATE 2027 Important Dates: </w:t>
      </w:r>
      <w:r>
        <w:t>https://gate2027.iitm.ac.in/important_dates</w:t>
      </w:r>
    </w:p>
    <w:p>
      <w:r>
        <w:rPr>
          <w:b/>
        </w:rPr>
        <w:t xml:space="preserve">GATE 2027 IIT Madras contact: </w:t>
      </w:r>
      <w:r>
        <w:t>https://gate2027.iitm.ac.in/contact_us</w:t>
      </w:r>
    </w:p>
    <w:p>
      <w:r>
        <w:rPr>
          <w:b/>
        </w:rPr>
        <w:t xml:space="preserve">COAP 2026 official portal: </w:t>
      </w:r>
      <w:r>
        <w:t>https://coap2026.iitr.ac.in/coap2026/</w:t>
      </w:r>
    </w:p>
    <w:p>
      <w:r>
        <w:rPr>
          <w:b/>
        </w:rPr>
        <w:t xml:space="preserve">CCMT 2026 official portal: </w:t>
      </w:r>
      <w:r>
        <w:t>https://ccmt.admissions.nic.in/</w:t>
      </w:r>
    </w:p>
    <w:p>
      <w:r>
        <w:rPr>
          <w:b/>
          <w:color w:val="245B7A"/>
          <w:sz w:val="26"/>
        </w:rPr>
        <w:t>Source note</w:t>
      </w:r>
    </w:p>
    <w:p>
      <w:r>
        <w:t>Primary sources: official GATE 2027 website by IIT Madras, official COAP 2026 portal by IIT Roorkee, and official CCMT 2026 portal. Always use the latest official brochure/notification for the year of application.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