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dolfq48cnpz" w:id="0"/>
      <w:bookmarkEnd w:id="0"/>
      <w:r w:rsidDel="00000000" w:rsidR="00000000" w:rsidRPr="00000000">
        <w:rPr>
          <w:rtl w:val="0"/>
        </w:rPr>
        <w:t xml:space="preserve">Coding Konvention für HTML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numPr>
          <w:ilvl w:val="0"/>
          <w:numId w:val="8"/>
        </w:numPr>
        <w:spacing w:after="120" w:afterAutospacing="0"/>
        <w:rPr>
          <w:b w:val="1"/>
          <w:bCs w:val="1"/>
          <w:color w:val="fd5b4f"/>
          <w:sz w:val="28"/>
          <w:szCs w:val="28"/>
        </w:rPr>
      </w:pPr>
      <w:bookmarkStart w:colFirst="0" w:colLast="0" w:name="_ahse5n8hnxts" w:id="1"/>
      <w:bookmarkEnd w:id="1"/>
      <w:r w:rsidDel="00000000" w:rsidR="00000000" w:rsidRPr="00000000">
        <w:rPr>
          <w:rtl w:val="0"/>
        </w:rPr>
        <w:t xml:space="preserve">Struktur und Semantik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12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Nutze semantische Tags: </w:t>
      </w:r>
      <w:r w:rsidDel="00000000" w:rsidR="00000000" w:rsidRPr="00000000">
        <w:rPr>
          <w:color w:val="188038"/>
          <w:rtl w:val="0"/>
        </w:rPr>
        <w:t xml:space="preserve">header, nav, main, section, article, aside, footer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Verwende </w:t>
      </w:r>
      <w:r w:rsidDel="00000000" w:rsidR="00000000" w:rsidRPr="00000000">
        <w:rPr>
          <w:color w:val="188038"/>
          <w:rtl w:val="0"/>
        </w:rPr>
        <w:t xml:space="preserve">h1 </w:t>
      </w:r>
      <w:r w:rsidDel="00000000" w:rsidR="00000000" w:rsidRPr="00000000">
        <w:rPr>
          <w:rtl w:val="0"/>
        </w:rPr>
        <w:t xml:space="preserve">bis </w:t>
      </w:r>
      <w:r w:rsidDel="00000000" w:rsidR="00000000" w:rsidRPr="00000000">
        <w:rPr>
          <w:color w:val="188038"/>
          <w:rtl w:val="0"/>
        </w:rPr>
        <w:t xml:space="preserve">h6 </w:t>
      </w:r>
      <w:r w:rsidDel="00000000" w:rsidR="00000000" w:rsidRPr="00000000">
        <w:rPr>
          <w:rtl w:val="0"/>
        </w:rPr>
        <w:t xml:space="preserve">in sinnvoller Hierarchie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Benutze </w:t>
      </w:r>
      <w:r w:rsidDel="00000000" w:rsidR="00000000" w:rsidRPr="00000000">
        <w:rPr>
          <w:color w:val="188038"/>
          <w:rtl w:val="0"/>
        </w:rPr>
        <w:t xml:space="preserve">section </w:t>
      </w:r>
      <w:r w:rsidDel="00000000" w:rsidR="00000000" w:rsidRPr="00000000">
        <w:rPr>
          <w:rtl w:val="0"/>
        </w:rPr>
        <w:t xml:space="preserve">für thematische Abschnitte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Verwende </w:t>
      </w:r>
      <w:r w:rsidDel="00000000" w:rsidR="00000000" w:rsidRPr="00000000">
        <w:rPr>
          <w:color w:val="188038"/>
          <w:rtl w:val="0"/>
        </w:rPr>
        <w:t xml:space="preserve">article </w:t>
      </w:r>
      <w:r w:rsidDel="00000000" w:rsidR="00000000" w:rsidRPr="00000000">
        <w:rPr>
          <w:rtl w:val="0"/>
        </w:rPr>
        <w:t xml:space="preserve">für eigenständige Inhalte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Ergänze </w:t>
      </w:r>
      <w:r w:rsidDel="00000000" w:rsidR="00000000" w:rsidRPr="00000000">
        <w:rPr>
          <w:color w:val="188038"/>
          <w:rtl w:val="0"/>
        </w:rPr>
        <w:t xml:space="preserve">aside </w:t>
      </w:r>
      <w:r w:rsidDel="00000000" w:rsidR="00000000" w:rsidRPr="00000000">
        <w:rPr>
          <w:rtl w:val="0"/>
        </w:rPr>
        <w:t xml:space="preserve">für Zusatzinfos, nicht für Layout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Setze </w:t>
      </w:r>
      <w:r w:rsidDel="00000000" w:rsidR="00000000" w:rsidRPr="00000000">
        <w:rPr>
          <w:color w:val="188038"/>
          <w:rtl w:val="0"/>
        </w:rPr>
        <w:t xml:space="preserve">figure </w:t>
      </w:r>
      <w:r w:rsidDel="00000000" w:rsidR="00000000" w:rsidRPr="00000000">
        <w:rPr>
          <w:rtl w:val="0"/>
        </w:rPr>
        <w:t xml:space="preserve">+ </w:t>
      </w:r>
      <w:r w:rsidDel="00000000" w:rsidR="00000000" w:rsidRPr="00000000">
        <w:rPr>
          <w:color w:val="188038"/>
          <w:rtl w:val="0"/>
        </w:rPr>
        <w:t xml:space="preserve">figcaption </w:t>
      </w:r>
      <w:r w:rsidDel="00000000" w:rsidR="00000000" w:rsidRPr="00000000">
        <w:rPr>
          <w:rtl w:val="0"/>
        </w:rPr>
        <w:t xml:space="preserve">für Bilder mit Bedeutung</w:t>
      </w:r>
    </w:p>
    <w:p w:rsidR="00000000" w:rsidDel="00000000" w:rsidP="00000000" w:rsidRDefault="00000000" w:rsidRPr="00000000" w14:paraId="0000000A">
      <w:pPr>
        <w:pStyle w:val="Heading2"/>
        <w:numPr>
          <w:ilvl w:val="0"/>
          <w:numId w:val="8"/>
        </w:numPr>
        <w:spacing w:after="120" w:afterAutospacing="0"/>
        <w:rPr>
          <w:b w:val="1"/>
          <w:bCs w:val="1"/>
          <w:color w:val="fd5b4f"/>
          <w:sz w:val="28"/>
          <w:szCs w:val="28"/>
        </w:rPr>
      </w:pPr>
      <w:bookmarkStart w:colFirst="0" w:colLast="0" w:name="_ppos9gnobnjh" w:id="2"/>
      <w:bookmarkEnd w:id="2"/>
      <w:r w:rsidDel="00000000" w:rsidR="00000000" w:rsidRPr="00000000">
        <w:rPr>
          <w:rtl w:val="0"/>
        </w:rPr>
        <w:t xml:space="preserve">Lesbarkeit und Wartbarkeit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12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Einheitlich eingerückt und formatiert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Keine tiefen, unübersichtlichen Verschachtelungen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Verwende sprechende Namen (englisch)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Verständliche, gepflegte Kommentare, die den Code ergänzen</w:t>
      </w:r>
    </w:p>
    <w:p w:rsidR="00000000" w:rsidDel="00000000" w:rsidP="00000000" w:rsidRDefault="00000000" w:rsidRPr="00000000" w14:paraId="0000000F">
      <w:pPr>
        <w:pStyle w:val="Heading2"/>
        <w:numPr>
          <w:ilvl w:val="0"/>
          <w:numId w:val="8"/>
        </w:numPr>
        <w:spacing w:after="120" w:afterAutospacing="0"/>
        <w:rPr>
          <w:b w:val="1"/>
          <w:bCs w:val="1"/>
          <w:color w:val="fd5b4f"/>
          <w:sz w:val="28"/>
          <w:szCs w:val="28"/>
        </w:rPr>
      </w:pPr>
      <w:bookmarkStart w:colFirst="0" w:colLast="0" w:name="_y9vq6trvmdg6" w:id="3"/>
      <w:bookmarkEnd w:id="3"/>
      <w:r w:rsidDel="00000000" w:rsidR="00000000" w:rsidRPr="00000000">
        <w:rPr>
          <w:rtl w:val="0"/>
        </w:rPr>
        <w:t xml:space="preserve">Barrierefreiheit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12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Bilder haben sinnvolle </w:t>
      </w:r>
      <w:r w:rsidDel="00000000" w:rsidR="00000000" w:rsidRPr="00000000">
        <w:rPr>
          <w:color w:val="188038"/>
          <w:rtl w:val="0"/>
        </w:rPr>
        <w:t xml:space="preserve">alt</w:t>
      </w:r>
      <w:r w:rsidDel="00000000" w:rsidR="00000000" w:rsidRPr="00000000">
        <w:rPr>
          <w:rtl w:val="0"/>
        </w:rPr>
        <w:t xml:space="preserve">-Texte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E-Mail-Adressen mit </w:t>
      </w:r>
      <w:r w:rsidDel="00000000" w:rsidR="00000000" w:rsidRPr="00000000">
        <w:rPr>
          <w:color w:val="188038"/>
          <w:rtl w:val="0"/>
        </w:rPr>
        <w:t xml:space="preserve">mailto: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Tabellen haben: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color w:val="188038"/>
          <w:rtl w:val="0"/>
        </w:rPr>
        <w:t xml:space="preserve">&lt;caption&gt;</w:t>
      </w:r>
      <w:r w:rsidDel="00000000" w:rsidR="00000000" w:rsidRPr="00000000">
        <w:rPr>
          <w:rtl w:val="0"/>
        </w:rPr>
        <w:t xml:space="preserve"> (wenn sinnvoll)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color w:val="188038"/>
          <w:rtl w:val="0"/>
        </w:rPr>
        <w:t xml:space="preserve">&lt;th&gt;</w:t>
      </w:r>
      <w:r w:rsidDel="00000000" w:rsidR="00000000" w:rsidRPr="00000000">
        <w:rPr>
          <w:rtl w:val="0"/>
        </w:rPr>
        <w:t xml:space="preserve"> statt nur </w:t>
      </w:r>
      <w:r w:rsidDel="00000000" w:rsidR="00000000" w:rsidRPr="00000000">
        <w:rPr>
          <w:color w:val="188038"/>
          <w:rtl w:val="0"/>
        </w:rPr>
        <w:t xml:space="preserve">&lt;td&gt;</w:t>
      </w:r>
      <w:r w:rsidDel="00000000" w:rsidR="00000000" w:rsidRPr="00000000">
        <w:rPr>
          <w:rtl w:val="0"/>
        </w:rPr>
        <w:t xml:space="preserve"> für Überschriften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korrekte logische Struktur (Zeilen oder Spalten)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Navigation als Liste (</w:t>
      </w:r>
      <w:r w:rsidDel="00000000" w:rsidR="00000000" w:rsidRPr="00000000">
        <w:rPr>
          <w:color w:val="188038"/>
          <w:rtl w:val="0"/>
        </w:rPr>
        <w:t xml:space="preserve">&lt;ul&gt;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color w:val="188038"/>
          <w:rtl w:val="0"/>
        </w:rPr>
        <w:t xml:space="preserve">&lt;nav&gt;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7">
      <w:pPr>
        <w:pStyle w:val="Heading2"/>
        <w:numPr>
          <w:ilvl w:val="0"/>
          <w:numId w:val="8"/>
        </w:numPr>
        <w:spacing w:after="120" w:afterAutospacing="0"/>
        <w:rPr>
          <w:b w:val="1"/>
          <w:bCs w:val="1"/>
          <w:color w:val="fd5b4f"/>
          <w:sz w:val="28"/>
          <w:szCs w:val="28"/>
        </w:rPr>
      </w:pPr>
      <w:bookmarkStart w:colFirst="0" w:colLast="0" w:name="_hqsrhfgiqrt8" w:id="4"/>
      <w:bookmarkEnd w:id="4"/>
      <w:r w:rsidDel="00000000" w:rsidR="00000000" w:rsidRPr="00000000">
        <w:rPr>
          <w:rtl w:val="0"/>
        </w:rPr>
        <w:t xml:space="preserve">Inhalte richtig kennzeichnen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12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Wichtiges hervorheben mit </w:t>
      </w:r>
      <w:r w:rsidDel="00000000" w:rsidR="00000000" w:rsidRPr="00000000">
        <w:rPr>
          <w:color w:val="188038"/>
          <w:rtl w:val="0"/>
        </w:rPr>
        <w:t xml:space="preserve">&lt;strong&gt;</w:t>
      </w:r>
      <w:r w:rsidDel="00000000" w:rsidR="00000000" w:rsidRPr="00000000">
        <w:rPr>
          <w:rtl w:val="0"/>
        </w:rPr>
        <w:t xml:space="preserve"> oder </w:t>
      </w:r>
      <w:r w:rsidDel="00000000" w:rsidR="00000000" w:rsidRPr="00000000">
        <w:rPr>
          <w:color w:val="188038"/>
          <w:rtl w:val="0"/>
        </w:rPr>
        <w:t xml:space="preserve">&lt;em&gt;</w:t>
      </w:r>
      <w:r w:rsidDel="00000000" w:rsidR="00000000" w:rsidRPr="00000000">
        <w:rPr>
          <w:rtl w:val="0"/>
        </w:rPr>
        <w:t xml:space="preserve">, nicht nur </w:t>
      </w:r>
      <w:r w:rsidDel="00000000" w:rsidR="00000000" w:rsidRPr="00000000">
        <w:rPr>
          <w:color w:val="188038"/>
          <w:rtl w:val="0"/>
        </w:rPr>
        <w:t xml:space="preserve">&lt;b&gt;</w:t>
      </w:r>
      <w:r w:rsidDel="00000000" w:rsidR="00000000" w:rsidRPr="00000000">
        <w:rPr>
          <w:rtl w:val="0"/>
        </w:rPr>
        <w:t xml:space="preserve"> oder </w:t>
      </w:r>
      <w:r w:rsidDel="00000000" w:rsidR="00000000" w:rsidRPr="00000000">
        <w:rPr>
          <w:color w:val="188038"/>
          <w:rtl w:val="0"/>
        </w:rPr>
        <w:t xml:space="preserve">&lt;i&gt;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Inline-Textstruktur mit </w:t>
      </w:r>
      <w:r w:rsidDel="00000000" w:rsidR="00000000" w:rsidRPr="00000000">
        <w:rPr>
          <w:color w:val="188038"/>
          <w:rtl w:val="0"/>
        </w:rPr>
        <w:t xml:space="preserve">&lt;span&gt;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Fließtext in </w:t>
      </w:r>
      <w:r w:rsidDel="00000000" w:rsidR="00000000" w:rsidRPr="00000000">
        <w:rPr>
          <w:color w:val="188038"/>
          <w:rtl w:val="0"/>
        </w:rPr>
        <w:t xml:space="preserve">&lt;p&gt;</w:t>
      </w:r>
      <w:r w:rsidDel="00000000" w:rsidR="00000000" w:rsidRPr="00000000">
        <w:rPr>
          <w:rtl w:val="0"/>
        </w:rPr>
        <w:t xml:space="preserve">, nicht in </w:t>
      </w:r>
      <w:r w:rsidDel="00000000" w:rsidR="00000000" w:rsidRPr="00000000">
        <w:rPr>
          <w:color w:val="188038"/>
          <w:rtl w:val="0"/>
        </w:rPr>
        <w:t xml:space="preserve">div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numPr>
          <w:ilvl w:val="0"/>
          <w:numId w:val="8"/>
        </w:numPr>
        <w:spacing w:after="120" w:afterAutospacing="0"/>
        <w:rPr>
          <w:b w:val="1"/>
          <w:bCs w:val="1"/>
          <w:color w:val="fd5b4f"/>
          <w:sz w:val="28"/>
          <w:szCs w:val="28"/>
        </w:rPr>
      </w:pPr>
      <w:bookmarkStart w:colFirst="0" w:colLast="0" w:name="_yel771x1mjld" w:id="5"/>
      <w:bookmarkEnd w:id="5"/>
      <w:r w:rsidDel="00000000" w:rsidR="00000000" w:rsidRPr="00000000">
        <w:rPr>
          <w:rtl w:val="0"/>
        </w:rPr>
        <w:t xml:space="preserve">Gültigkeit und Standards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12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HTML-Dokument mit korrektem Doctype beginnen (</w:t>
      </w:r>
      <w:r w:rsidDel="00000000" w:rsidR="00000000" w:rsidRPr="00000000">
        <w:rPr>
          <w:color w:val="188038"/>
          <w:rtl w:val="0"/>
        </w:rPr>
        <w:t xml:space="preserve">&lt;!DOCTYPE html&gt;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Immer ein </w:t>
      </w:r>
      <w:r w:rsidDel="00000000" w:rsidR="00000000" w:rsidRPr="00000000">
        <w:rPr>
          <w:color w:val="188038"/>
          <w:rtl w:val="0"/>
        </w:rPr>
        <w:t xml:space="preserve">&lt;html lang="..."&gt;</w:t>
      </w:r>
      <w:r w:rsidDel="00000000" w:rsidR="00000000" w:rsidRPr="00000000">
        <w:rPr>
          <w:rtl w:val="0"/>
        </w:rPr>
        <w:t xml:space="preserve"> setzen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 </w:t>
      </w:r>
      <w:r w:rsidDel="00000000" w:rsidR="00000000" w:rsidRPr="00000000">
        <w:rPr>
          <w:color w:val="188038"/>
          <w:rtl w:val="0"/>
        </w:rPr>
        <w:t xml:space="preserve">&lt;head&gt;</w:t>
      </w:r>
      <w:r w:rsidDel="00000000" w:rsidR="00000000" w:rsidRPr="00000000">
        <w:rPr>
          <w:rtl w:val="0"/>
        </w:rPr>
        <w:t xml:space="preserve">: m</w:t>
      </w:r>
      <w:r w:rsidDel="00000000" w:rsidR="00000000" w:rsidRPr="00000000">
        <w:rPr>
          <w:color w:val="188038"/>
          <w:rtl w:val="0"/>
        </w:rPr>
        <w:t xml:space="preserve">eta charset="UTF-8"</w:t>
      </w:r>
      <w:r w:rsidDel="00000000" w:rsidR="00000000" w:rsidRPr="00000000">
        <w:rPr>
          <w:rtl w:val="0"/>
        </w:rPr>
        <w:t xml:space="preserve"> und </w:t>
      </w:r>
      <w:r w:rsidDel="00000000" w:rsidR="00000000" w:rsidRPr="00000000">
        <w:rPr>
          <w:color w:val="188038"/>
          <w:rtl w:val="0"/>
        </w:rPr>
        <w:t xml:space="preserve">&lt;title&gt;</w:t>
      </w:r>
      <w:r w:rsidDel="00000000" w:rsidR="00000000" w:rsidRPr="00000000">
        <w:rPr>
          <w:rtl w:val="0"/>
        </w:rPr>
        <w:t xml:space="preserve"> nicht vergessen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Eine index.html sollte immer ein favicon erhalten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numPr>
          <w:ilvl w:val="0"/>
          <w:numId w:val="8"/>
        </w:numPr>
        <w:spacing w:after="120" w:afterAutospacing="0"/>
        <w:rPr>
          <w:b w:val="1"/>
          <w:bCs w:val="1"/>
          <w:color w:val="fd5b4f"/>
          <w:sz w:val="28"/>
          <w:szCs w:val="28"/>
        </w:rPr>
      </w:pPr>
      <w:bookmarkStart w:colFirst="0" w:colLast="0" w:name="_6lil79hnlkbw" w:id="6"/>
      <w:bookmarkEnd w:id="6"/>
      <w:r w:rsidDel="00000000" w:rsidR="00000000" w:rsidRPr="00000000">
        <w:rPr>
          <w:rtl w:val="0"/>
        </w:rPr>
        <w:t xml:space="preserve">Bonus: Developer-Best Practices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12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Verwende so wenig div wie möglich und so viel wie nötig(„div-Suppe“ vermeiden)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Trenne </w:t>
      </w:r>
      <w:r w:rsidDel="00000000" w:rsidR="00000000" w:rsidRPr="00000000">
        <w:rPr>
          <w:b w:val="1"/>
          <w:bCs w:val="1"/>
          <w:rtl w:val="0"/>
        </w:rPr>
        <w:t xml:space="preserve">Struktur </w:t>
      </w:r>
      <w:r w:rsidDel="00000000" w:rsidR="00000000" w:rsidRPr="00000000">
        <w:rPr>
          <w:rtl w:val="0"/>
        </w:rPr>
        <w:t xml:space="preserve">(HTML) von </w:t>
      </w:r>
      <w:r w:rsidDel="00000000" w:rsidR="00000000" w:rsidRPr="00000000">
        <w:rPr>
          <w:b w:val="1"/>
          <w:bCs w:val="1"/>
          <w:rtl w:val="0"/>
        </w:rPr>
        <w:t xml:space="preserve">Darstellung </w:t>
      </w:r>
      <w:r w:rsidDel="00000000" w:rsidR="00000000" w:rsidRPr="00000000">
        <w:rPr>
          <w:rtl w:val="0"/>
        </w:rPr>
        <w:t xml:space="preserve">(CSS)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Lorem Ipsum zählt als Placeholder. Sei kreativ und fülle deine Projekte mit eigenen Texten.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numPr>
          <w:ilvl w:val="0"/>
          <w:numId w:val="8"/>
        </w:numPr>
        <w:rPr>
          <w:b w:val="1"/>
          <w:bCs w:val="1"/>
          <w:color w:val="fd5b4f"/>
          <w:sz w:val="28"/>
          <w:szCs w:val="28"/>
        </w:rPr>
      </w:pPr>
      <w:bookmarkStart w:colFirst="0" w:colLast="0" w:name="_hc3i0ve7ihd4" w:id="7"/>
      <w:bookmarkEnd w:id="7"/>
      <w:r w:rsidDel="00000000" w:rsidR="00000000" w:rsidRPr="00000000">
        <w:rPr>
          <w:rtl w:val="0"/>
        </w:rPr>
        <w:t xml:space="preserve">Struktur und Semantik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https://developer.mozilla.org/en-US/docs/Learn_web_development/Core/Accessibility/HTML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https://www.semrush.com/blog/semantic-html5-guide/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after="240" w:before="240" w:lineRule="auto"/>
        <w:rPr>
          <w:color w:val="000000"/>
          <w:sz w:val="26"/>
          <w:szCs w:val="26"/>
        </w:rPr>
      </w:pPr>
      <w:bookmarkStart w:colFirst="0" w:colLast="0" w:name="_xk3gtrpgirq2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after="80" w:before="280" w:lineRule="auto"/>
        <w:rPr>
          <w:color w:val="000000"/>
          <w:sz w:val="26"/>
          <w:szCs w:val="26"/>
        </w:rPr>
      </w:pPr>
      <w:bookmarkStart w:colFirst="0" w:colLast="0" w:name="_kstklrebi0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after="80" w:before="280" w:lineRule="auto"/>
        <w:rPr>
          <w:color w:val="000000"/>
          <w:sz w:val="26"/>
          <w:szCs w:val="26"/>
        </w:rPr>
      </w:pPr>
      <w:bookmarkStart w:colFirst="0" w:colLast="0" w:name="_uxd7ktphqlsb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Figtre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gtree ExtraBold">
    <w:embedBold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rPr>
        <w:sz w:val="2"/>
        <w:szCs w:val="2"/>
      </w:rPr>
    </w:pPr>
    <w:r w:rsidDel="00000000" w:rsidR="00000000" w:rsidRPr="00000000">
      <w:rPr>
        <w:rtl w:val="0"/>
      </w:rPr>
    </w:r>
  </w:p>
  <w:tbl>
    <w:tblPr>
      <w:tblStyle w:val="Table1"/>
      <w:tblW w:w="9075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460"/>
      <w:gridCol w:w="5250"/>
      <w:gridCol w:w="1365"/>
      <w:tblGridChange w:id="0">
        <w:tblGrid>
          <w:gridCol w:w="2460"/>
          <w:gridCol w:w="5250"/>
          <w:gridCol w:w="1365"/>
        </w:tblGrid>
      </w:tblGridChange>
    </w:tblGrid>
    <w:tr>
      <w:trPr>
        <w:cantSplit w:val="0"/>
        <w:trHeight w:val="264" w:hRule="atLeast"/>
        <w:tblHeader w:val="0"/>
      </w:trPr>
      <w:tc>
        <w:tcPr>
          <w:vMerge w:val="restart"/>
          <w:tcBorders>
            <w:top w:color="fd8a81" w:space="0" w:sz="8" w:val="single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43.08661417322835" w:type="dxa"/>
            <w:left w:w="43.08661417322835" w:type="dxa"/>
            <w:bottom w:w="43.08661417322835" w:type="dxa"/>
            <w:right w:w="43.08661417322835" w:type="dxa"/>
          </w:tcMar>
          <w:vAlign w:val="center"/>
        </w:tcPr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Figtree" w:cs="Figtree" w:eastAsia="Figtree" w:hAnsi="Figtree"/>
              <w:color w:val="124658"/>
            </w:rPr>
          </w:pPr>
          <w:r w:rsidDel="00000000" w:rsidR="00000000" w:rsidRPr="00000000">
            <w:rPr>
              <w:color w:val="124658"/>
              <w:rtl w:val="0"/>
            </w:rPr>
            <w:t xml:space="preserve">HTML Coding Konv.</w:t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fd8a81" w:space="0" w:sz="8" w:val="single"/>
            <w:left w:color="000000" w:space="0" w:sz="0" w:val="nil"/>
            <w:bottom w:color="fd8a81" w:space="0" w:sz="8" w:val="single"/>
            <w:right w:color="000000" w:space="0" w:sz="0" w:val="nil"/>
          </w:tcBorders>
          <w:shd w:fill="auto" w:val="clear"/>
          <w:tcMar>
            <w:top w:w="43.08661417322835" w:type="dxa"/>
            <w:left w:w="43.08661417322835" w:type="dxa"/>
            <w:bottom w:w="43.08661417322835" w:type="dxa"/>
            <w:right w:w="43.08661417322835" w:type="dxa"/>
          </w:tcMar>
          <w:vAlign w:val="center"/>
        </w:tcPr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Figtree" w:cs="Figtree" w:eastAsia="Figtree" w:hAnsi="Figtree"/>
              <w:color w:val="124658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fd8a81" w:space="0" w:sz="8" w:val="single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43.08661417322835" w:type="dxa"/>
            <w:left w:w="43.08661417322835" w:type="dxa"/>
            <w:bottom w:w="43.08661417322835" w:type="dxa"/>
            <w:right w:w="43.08661417322835" w:type="dxa"/>
          </w:tcMar>
          <w:vAlign w:val="center"/>
        </w:tcPr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-40.39370078740092" w:firstLine="0"/>
            <w:jc w:val="right"/>
            <w:rPr>
              <w:rFonts w:ascii="Figtree" w:cs="Figtree" w:eastAsia="Figtree" w:hAnsi="Figtree"/>
              <w:color w:val="124658"/>
            </w:rPr>
          </w:pPr>
          <w:r w:rsidDel="00000000" w:rsidR="00000000" w:rsidRPr="00000000">
            <w:rPr>
              <w:rFonts w:ascii="Figtree" w:cs="Figtree" w:eastAsia="Figtree" w:hAnsi="Figtree"/>
              <w:color w:val="124658"/>
              <w:rtl w:val="0"/>
            </w:rPr>
            <w:t xml:space="preserve">202</w:t>
          </w:r>
          <w:r w:rsidDel="00000000" w:rsidR="00000000" w:rsidRPr="00000000">
            <w:rPr>
              <w:color w:val="124658"/>
              <w:rtl w:val="0"/>
            </w:rPr>
            <w:t xml:space="preserve">5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64" w:hRule="atLeast"/>
        <w:tblHeader w:val="0"/>
      </w:trPr>
      <w:tc>
        <w:tcPr>
          <w:vMerge w:val="continue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43.08661417322835" w:type="dxa"/>
            <w:left w:w="43.08661417322835" w:type="dxa"/>
            <w:bottom w:w="43.08661417322835" w:type="dxa"/>
            <w:right w:w="43.08661417322835" w:type="dxa"/>
          </w:tcMar>
          <w:vAlign w:val="center"/>
        </w:tcPr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fd8a81" w:space="0" w:sz="8" w:val="single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43.08661417322835" w:type="dxa"/>
            <w:left w:w="43.08661417322835" w:type="dxa"/>
            <w:bottom w:w="43.08661417322835" w:type="dxa"/>
            <w:right w:w="43.08661417322835" w:type="dxa"/>
          </w:tcMar>
          <w:vAlign w:val="top"/>
        </w:tcPr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Figtree" w:cs="Figtree" w:eastAsia="Figtree" w:hAnsi="Figtree"/>
              <w:color w:val="124658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43.08661417322835" w:type="dxa"/>
            <w:left w:w="43.08661417322835" w:type="dxa"/>
            <w:bottom w:w="43.08661417322835" w:type="dxa"/>
            <w:right w:w="43.08661417322835" w:type="dxa"/>
          </w:tcMar>
          <w:vAlign w:val="center"/>
        </w:tcPr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8">
    <w:pPr>
      <w:spacing w:line="240" w:lineRule="auto"/>
      <w:ind w:left="0" w:firstLine="0"/>
      <w:rPr>
        <w:rFonts w:ascii="Figtree" w:cs="Figtree" w:eastAsia="Figtree" w:hAnsi="Figtree"/>
        <w:color w:val="124658"/>
        <w:sz w:val="2"/>
        <w:szCs w:val="2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ind w:left="0" w:firstLine="0"/>
      <w:rPr/>
    </w:pPr>
    <w:r w:rsidDel="00000000" w:rsidR="00000000" w:rsidRPr="00000000">
      <w:rPr/>
      <w:drawing>
        <wp:inline distB="114300" distT="114300" distL="114300" distR="114300">
          <wp:extent cx="5745600" cy="33020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678" l="0" r="0" t="678"/>
                  <a:stretch>
                    <a:fillRect/>
                  </a:stretch>
                </pic:blipFill>
                <pic:spPr>
                  <a:xfrm>
                    <a:off x="0" y="0"/>
                    <a:ext cx="5745600" cy="3302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72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Figtree" w:cs="Figtree" w:eastAsia="Figtree" w:hAnsi="Figtree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200" w:line="240" w:lineRule="auto"/>
      <w:jc w:val="center"/>
    </w:pPr>
    <w:rPr>
      <w:rFonts w:ascii="Figtree ExtraBold" w:cs="Figtree ExtraBold" w:eastAsia="Figtree ExtraBold" w:hAnsi="Figtree ExtraBold"/>
      <w:color w:val="124658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ind w:left="357.1653543307087"/>
    </w:pPr>
    <w:rPr>
      <w:b w:val="1"/>
      <w:bCs w:val="1"/>
      <w:color w:val="124658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360" w:lineRule="auto"/>
    </w:pPr>
    <w:rPr>
      <w:b w:val="1"/>
      <w:bCs w:val="1"/>
      <w:color w:val="12465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0" w:lineRule="auto"/>
    </w:pPr>
    <w:rPr/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line="240" w:lineRule="auto"/>
      <w:jc w:val="center"/>
    </w:pPr>
    <w:rPr>
      <w:rFonts w:ascii="Figtree ExtraBold" w:cs="Figtree ExtraBold" w:eastAsia="Figtree ExtraBold" w:hAnsi="Figtree ExtraBold"/>
      <w:color w:val="124658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spacing w:after="120" w:before="360" w:lineRule="auto"/>
      <w:ind w:left="720" w:hanging="360"/>
    </w:pPr>
    <w:rPr>
      <w:b w:val="1"/>
      <w:bCs w:val="1"/>
      <w:color w:val="124658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hyperlink" Target="https://developer.mozilla.org/en-US/docs/Learn_web_development/Core/Accessibility/HTML" TargetMode="External"/><Relationship Id="rId7" Type="http://schemas.openxmlformats.org/officeDocument/2006/relationships/hyperlink" Target="https://www.semrush.com/blog/semantic-html5-guide/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gtree-regular.ttf"/><Relationship Id="rId2" Type="http://schemas.openxmlformats.org/officeDocument/2006/relationships/font" Target="fonts/Figtree-bold.ttf"/><Relationship Id="rId3" Type="http://schemas.openxmlformats.org/officeDocument/2006/relationships/font" Target="fonts/Figtree-italic.ttf"/><Relationship Id="rId4" Type="http://schemas.openxmlformats.org/officeDocument/2006/relationships/font" Target="fonts/Figtree-boldItalic.ttf"/><Relationship Id="rId5" Type="http://schemas.openxmlformats.org/officeDocument/2006/relationships/font" Target="fonts/FigtreeExtraBold-bold.ttf"/><Relationship Id="rId6" Type="http://schemas.openxmlformats.org/officeDocument/2006/relationships/font" Target="fonts/FigtreeExtraBold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