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Company Travel Policy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1. Purpose: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Company Travel Policy outlines the guidelines and procedures for employees undertaking business-related travel on behalf of the company. The primary goal is to ensure the safety, well-being, and cost-effective management of travel activities.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2. Authorization: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business-related travel must be pre-approved by the respective department head or manager. The approval process includes an assessment of the necessity, budget considerations, and adherence to this travel policy.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3. Booking and Reservations: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Employees are encouraged to book travel well in advance to secure cost-effective options.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All travel arrangements, including flights, accommodation, and transportation, must be made through the company's approved travel booking platform or designated travel agency.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Transportation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Preferred mode of transportation is economy class for flights and standard class for other means of transportation.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Rental cars should be used sparingly, with consideration given to alternative transportation options.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5. Accommodation: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Employees are expected to stay in company-approved hotels or accommodations.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Accommodations should be reasonable and within the established per diem limits for the specific location.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6. Per Diem and Expenses: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Employees will be reimbursed for reasonable and necessary expenses incurred during business travel.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Per diem rates will be provided based on the location and in accordance with the company's reimbursement policy.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7. Expense Reporting: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All expenses must be accurately documented and submitted promptly upon return.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Original receipts, boarding passes, and other supporting documentation must be attached to the expense report.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8. Travel Insurance: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The company will provide travel insurance coverage for employees during business trips.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Employees should familiarize themselves with the coverage details and report any incidents promptly.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9. Safety and Security: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Employees should prioritize their safety and adhere to local laws and regulations.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In the event of an emergency, employees must contact the designated emergency contact and follow company protocols.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10. Compliance: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Employees are expected to comply with all aspects of this travel policy.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Non-compliance may result in the denial of reimbursement and disciplinary action.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11. Review and Updates: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travel policy will be periodically reviewed and updated as necessary. Employees will be notified of any changes.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i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Acknowledgment: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By undertaking business travel, employees acknowledge their understanding and acceptance of this Company Travel Policy.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