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mbria" w:cs="Cambria" w:eastAsia="Cambria" w:hAnsi="Cambria"/>
          <w:b w:val="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u w:val="single"/>
          <w:rtl w:val="0"/>
        </w:rPr>
        <w:t xml:space="preserve">Interview Reimbursement Policy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Brief &amp; purpose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[Organization Name], we value candidates' time and effort in our interview process. This policy ensures that candidates are fairly reimbursed for expenses incurred during their interviews with us.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policy applies to all job candidates interviewing for eligible positions at [Organization Name].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Eligible expenses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Travel: Flight tickets or train fares for the candidate. Accommodation: Hotel stays for the duration of the interview process. Meals: Daily meal expenses up to a specified limit.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Exclusions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Alcoholic beverages. Expenses for companions or family members. Personal expenses are unrelated to the interview process.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Submission process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Candidates should submit their claims with all relevant receipts within 15 days of the interview.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Approval and payment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Reimbursement claims will be reviewed by the HR department and processed within 30 days of submission.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Queries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Candidates can reach out to the HR department for any questions or clarifications regarding this policy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