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lastRenderedPageBreak/>
        <w:t>rural credit—factors that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w:t>
      </w:r>
      <w:r w:rsidR="002745B4">
        <w:rPr>
          <w:szCs w:val="24"/>
        </w:rPr>
        <w:t xml:space="preserve">et architecture of the platform </w:t>
      </w:r>
      <w:r>
        <w:rPr>
          <w:szCs w:val="24"/>
        </w:rPr>
        <w:t>that is, the compl</w:t>
      </w:r>
      <w:r w:rsidR="002745B4">
        <w:rPr>
          <w:szCs w:val="24"/>
        </w:rPr>
        <w:t xml:space="preserve">ete system the design specifies </w:t>
      </w:r>
      <w:r>
        <w:rPr>
          <w:szCs w:val="24"/>
        </w:rPr>
        <w:t>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(Johnson, 2020): the annual charge is taken against the full purchase value, the platform recording no list price to which a published salvage factor could be applied; it covers depreciation alone rather than full ownership cost; and no accumulated-depreciation floor is applied and no declining-balance alternative offered, so an asset retained beyond its implied life accrues charge indefinitely. Where the reporting period is not specified the default window is derived from the span of the ledger and widens with each entry, so a break-even price 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No claim of conservatism is made.</w:t>
      </w:r>
    </w:p>
    <w:p w:rsidR="0054721A" w:rsidRDefault="008A0666" w:rsidP="0054721A">
      <w:pPr>
        <w:pStyle w:val="BodyPara"/>
      </w:pPr>
      <w:r>
        <w:rPr>
          <w:szCs w:val="24"/>
        </w:rPr>
        <w:t>The break-even price on a cash basis and the operating-expense ratio exclude all non-cash charges and are unaffected; only the break-even price on a total-cost basis inherits the divergence.</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Pr="00D5112B" w:rsidRDefault="008A0666" w:rsidP="0054721A">
      <w:pPr>
        <w:pStyle w:val="ListItem"/>
        <w:tabs>
          <w:tab w:val="left" w:pos="864"/>
        </w:tabs>
      </w:pPr>
      <w:r>
        <w:rPr>
          <w:szCs w:val="24"/>
        </w:rPr>
        <w:t>(b)</w:t>
      </w:r>
      <w:r>
        <w:rPr>
          <w:szCs w:val="24"/>
        </w:rPr>
        <w:tab/>
      </w:r>
      <w:r>
        <w:rPr>
          <w:b/>
          <w:bCs/>
          <w:szCs w:val="24"/>
        </w:rPr>
        <w:t xml:space="preserve">Tier 3 – Statistical yield forecast (optional). </w:t>
      </w:r>
      <w:r w:rsidRPr="00D5112B">
        <w:rPr>
          <w:bCs/>
          <w:szCs w:val="24"/>
        </w:rPr>
        <w:t xml:space="preserve">A Random Forest </w:t>
      </w:r>
      <w:proofErr w:type="spellStart"/>
      <w:r w:rsidRPr="00D5112B">
        <w:rPr>
          <w:bCs/>
          <w:szCs w:val="24"/>
        </w:rPr>
        <w:t>regressor</w:t>
      </w:r>
      <w:proofErr w:type="spellEnd"/>
      <w:r w:rsidRPr="00D5112B">
        <w:rPr>
          <w:bCs/>
          <w:szCs w:val="24"/>
        </w:rPr>
        <w:t xml:space="preserve"> produces a yield estimate from agronomic inputs such as rainfall, </w:t>
      </w:r>
      <w:proofErr w:type="spellStart"/>
      <w:r w:rsidRPr="00D5112B">
        <w:rPr>
          <w:bCs/>
          <w:szCs w:val="24"/>
        </w:rPr>
        <w:t>fertiliser</w:t>
      </w:r>
      <w:proofErr w:type="spellEnd"/>
      <w:r w:rsidRPr="00D5112B">
        <w:rPr>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ensemble mean. That measure indicates </w:t>
      </w:r>
      <w:r w:rsidRPr="00D5112B">
        <w:rPr>
          <w:bCs/>
          <w:szCs w:val="24"/>
        </w:rPr>
        <w:lastRenderedPageBreak/>
        <w:t>how far the trees agree with one another. It is not a calibrated prediction interval, and Section 5.2.3 sets out the established methods that would produce one (</w:t>
      </w:r>
      <w:proofErr w:type="spellStart"/>
      <w:r w:rsidRPr="00D5112B">
        <w:rPr>
          <w:bCs/>
          <w:szCs w:val="24"/>
        </w:rPr>
        <w:t>Meinshausen</w:t>
      </w:r>
      <w:proofErr w:type="spellEnd"/>
      <w:r w:rsidRPr="00D5112B">
        <w:rPr>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w:t>
      </w:r>
      <w:r>
        <w:rPr>
          <w:szCs w:val="24"/>
        </w:rPr>
        <w:lastRenderedPageBreak/>
        <w:t>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The socio-technical barrier at the heart of Objective 1 is that a large proportion of rural Nigerian farmers do not hold a smartphone. The design response is a gateway-agnostic inbound message channel: a webhook accepting a sender 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None of it is built: there is no route, no webhook, no parser, no sender-to-farm mapping, no harness and no test, and the navigation entries that once gestured at this channel were removed because no backend supported them. The channel is recorded in Section 5.3 as future work. Its absence is the principal limit on the reach of the contribution and is stated as such rather than qualified.</w:t>
      </w:r>
      <w:proofErr w:type="spellStart"/>
      <w:proofErr w:type="spellEnd"/>
      <w:proofErr w:type="spellStart"/>
      <w:proofErr w:type="spellEnd"/>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w:t>
      </w:r>
      <w:r>
        <w:lastRenderedPageBreak/>
        <w:t xml:space="preserve">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(Kay et al., 2016). Recorded cost is classified at the schema edge into variable, semi-</w:t>
      </w:r>
      <w:r>
        <w:lastRenderedPageBreak/>
        <w:t xml:space="preserve">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w:t>
      </w:r>
      <w:r w:rsidR="00D5112B">
        <w:t xml:space="preserve">proposed change by four terms </w:t>
      </w:r>
      <w:r>
        <w:t>added revenue, reduced cost</w:t>
      </w:r>
      <w:r w:rsidR="00D5112B">
        <w:t xml:space="preserve">, lost revenue and added cost </w:t>
      </w:r>
      <w:r>
        <w:t xml:space="preserve">following the standard method </w:t>
      </w:r>
      <w:r>
        <w:lastRenderedPageBreak/>
        <w:t>for appraising incremental change in smallholder farming systems (CIMMYT, 1988; Kay et al., 2</w:t>
      </w:r>
      <w:r w:rsidR="00D5112B">
        <w:t xml:space="preserve">016) and is implemented twice </w:t>
      </w:r>
      <w:r>
        <w:t>once server-side and once in the client</w:t>
      </w:r>
      <w:r w:rsidR="00D5112B">
        <w:t xml:space="preserve">, so that it survives offline </w:t>
      </w:r>
      <w:r>
        <w:t>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w:t>
      </w:r>
      <w:r>
        <w:rPr>
          <w:szCs w:val="24"/>
        </w:rPr>
        <w:lastRenderedPageBreak/>
        <w:t>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4.12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pPr>
            <w:r>
              <w:rPr>
                <w:b/>
                <w:bCs/>
                <w:sz w:val="22"/>
              </w:rPr>
              <w:t>Class</w:t>
            </w:r>
          </w:p>
        </w:tc>
        <w:tc>
          <w:tcPr>
            <w:tcW w:w="2835" w:type="dxa"/>
            <w:tcBorders>
              <w:bottom w:val="single" w:sz="8" w:space="0" w:color="auto"/>
            </w:tcBorders>
            <w:vAlign w:val="center"/>
          </w:tcPr>
          <w:p w:rsidR="009C29EC" w:rsidRDefault="008A0666">
            <w:pPr>
              <w:pStyle w:val="TableCell"/>
            </w:pPr>
            <w:r>
              <w:rPr>
                <w:b/>
                <w:bCs/>
                <w:sz w:val="22"/>
              </w:rPr>
              <w:t>What it means</w:t>
            </w:r>
          </w:p>
        </w:tc>
        <w:tc>
          <w:tcPr>
            <w:tcW w:w="2835" w:type="dxa"/>
            <w:tcBorders>
              <w:bottom w:val="single" w:sz="8" w:space="0" w:color="auto"/>
            </w:tcBorders>
            <w:vAlign w:val="center"/>
          </w:tcPr>
          <w:p w:rsidR="009C29EC" w:rsidRDefault="008A0666">
            <w:pPr>
              <w:pStyle w:val="TableCell"/>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pPr>
            <w:r>
              <w:rPr>
                <w:sz w:val="22"/>
              </w:rPr>
              <w:t>Implemented</w:t>
            </w:r>
          </w:p>
        </w:tc>
        <w:tc>
          <w:tcPr>
            <w:tcW w:w="2835" w:type="dxa"/>
            <w:tcBorders>
              <w:bottom w:val="nil"/>
            </w:tcBorders>
            <w:vAlign w:val="center"/>
          </w:tcPr>
          <w:p w:rsidR="009C29EC" w:rsidRDefault="008A0666">
            <w:pPr>
              <w:pStyle w:val="TableCell"/>
            </w:pPr>
            <w:r>
              <w:rPr>
                <w:sz w:val="22"/>
              </w:rPr>
              <w:t>The code exists and, where stated, is reachable by a user.</w:t>
            </w:r>
          </w:p>
        </w:tc>
        <w:tc>
          <w:tcPr>
            <w:tcW w:w="2835" w:type="dxa"/>
            <w:tcBorders>
              <w:bottom w:val="nil"/>
            </w:tcBorders>
            <w:vAlign w:val="center"/>
          </w:tcPr>
          <w:p w:rsidR="009C29EC" w:rsidRDefault="008A0666">
            <w:pPr>
              <w:pStyle w:val="TableCell"/>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pPr>
            <w:r>
              <w:rPr>
                <w:sz w:val="22"/>
              </w:rPr>
              <w:t>Numerical result</w:t>
            </w:r>
          </w:p>
        </w:tc>
        <w:tc>
          <w:tcPr>
            <w:tcW w:w="2835" w:type="dxa"/>
            <w:tcBorders>
              <w:top w:val="nil"/>
            </w:tcBorders>
            <w:vAlign w:val="center"/>
          </w:tcPr>
          <w:p w:rsidR="009C29EC" w:rsidRDefault="008A0666">
            <w:pPr>
              <w:pStyle w:val="TableCell"/>
            </w:pPr>
            <w:r>
              <w:rPr>
                <w:sz w:val="22"/>
              </w:rPr>
              <w:t>A measured or computed value with a named command or artefact behind it.</w:t>
            </w:r>
          </w:p>
        </w:tc>
        <w:tc>
          <w:tcPr>
            <w:tcW w:w="2835" w:type="dxa"/>
            <w:tcBorders>
              <w:top w:val="nil"/>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1</w:t>
            </w:r>
          </w:p>
        </w:tc>
        <w:tc>
          <w:tcPr>
            <w:tcW w:w="945" w:type="dxa"/>
            <w:vAlign w:val="center"/>
          </w:tcPr>
          <w:p w:rsidR="009C29EC" w:rsidRPr="008A0770" w:rsidRDefault="008A0666" w:rsidP="008A0770">
            <w:pPr>
              <w:pStyle w:val="TableCell"/>
              <w:rPr>
                <w:sz w:val="24"/>
                <w:szCs w:val="24"/>
              </w:rPr>
            </w:pPr>
            <w:r w:rsidRPr="008A0770">
              <w:rPr>
                <w:sz w:val="24"/>
                <w:szCs w:val="24"/>
              </w:rPr>
              <w:t>Cowpea</w:t>
            </w:r>
          </w:p>
        </w:tc>
        <w:tc>
          <w:tcPr>
            <w:tcW w:w="1260" w:type="dxa"/>
            <w:vAlign w:val="center"/>
          </w:tcPr>
          <w:p w:rsidR="009C29EC" w:rsidRPr="008A0770" w:rsidRDefault="008A0666" w:rsidP="008A0770">
            <w:pPr>
              <w:pStyle w:val="TableCell"/>
              <w:rPr>
                <w:sz w:val="24"/>
                <w:szCs w:val="24"/>
              </w:rPr>
            </w:pPr>
            <w:r w:rsidRPr="008A0770">
              <w:rPr>
                <w:sz w:val="24"/>
                <w:szCs w:val="24"/>
              </w:rPr>
              <w:t>624,950</w:t>
            </w:r>
          </w:p>
        </w:tc>
        <w:tc>
          <w:tcPr>
            <w:tcW w:w="1260" w:type="dxa"/>
            <w:vAlign w:val="center"/>
          </w:tcPr>
          <w:p w:rsidR="009C29EC" w:rsidRPr="008A0770" w:rsidRDefault="008A0666" w:rsidP="008A0770">
            <w:pPr>
              <w:pStyle w:val="TableCell"/>
              <w:rPr>
                <w:sz w:val="24"/>
                <w:szCs w:val="24"/>
              </w:rPr>
            </w:pPr>
            <w:r w:rsidRPr="008A0770">
              <w:rPr>
                <w:sz w:val="24"/>
                <w:szCs w:val="24"/>
              </w:rPr>
              <w:t>267,700</w:t>
            </w:r>
          </w:p>
        </w:tc>
        <w:tc>
          <w:tcPr>
            <w:tcW w:w="1260" w:type="dxa"/>
            <w:vAlign w:val="center"/>
          </w:tcPr>
          <w:p w:rsidR="009C29EC" w:rsidRPr="008A0770" w:rsidRDefault="008A0666" w:rsidP="008A0770">
            <w:pPr>
              <w:pStyle w:val="TableCell"/>
              <w:rPr>
                <w:sz w:val="24"/>
                <w:szCs w:val="24"/>
              </w:rPr>
            </w:pPr>
            <w:r w:rsidRPr="008A0770">
              <w:rPr>
                <w:b/>
                <w:bCs/>
                <w:sz w:val="24"/>
                <w:szCs w:val="24"/>
              </w:rPr>
              <w:t>357,250</w:t>
            </w:r>
          </w:p>
        </w:tc>
        <w:tc>
          <w:tcPr>
            <w:tcW w:w="1260" w:type="dxa"/>
            <w:vAlign w:val="center"/>
          </w:tcPr>
          <w:p w:rsidR="009C29EC" w:rsidRPr="008A0770" w:rsidRDefault="008A0666" w:rsidP="008A0770">
            <w:pPr>
              <w:pStyle w:val="TableCell"/>
              <w:rPr>
                <w:sz w:val="24"/>
                <w:szCs w:val="24"/>
              </w:rPr>
            </w:pPr>
            <w:r w:rsidRPr="008A0770">
              <w:rPr>
                <w:sz w:val="24"/>
                <w:szCs w:val="24"/>
              </w:rPr>
              <w:t>480 kg</w:t>
            </w:r>
          </w:p>
        </w:tc>
        <w:tc>
          <w:tcPr>
            <w:tcW w:w="1260" w:type="dxa"/>
            <w:vAlign w:val="center"/>
          </w:tcPr>
          <w:p w:rsidR="009C29EC" w:rsidRPr="008A0770" w:rsidRDefault="008A0666" w:rsidP="008A0770">
            <w:pPr>
              <w:pStyle w:val="TableCell"/>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2</w:t>
            </w:r>
          </w:p>
        </w:tc>
        <w:tc>
          <w:tcPr>
            <w:tcW w:w="945" w:type="dxa"/>
            <w:vAlign w:val="center"/>
          </w:tcPr>
          <w:p w:rsidR="009C29EC" w:rsidRPr="008A0770" w:rsidRDefault="008A0666" w:rsidP="008A0770">
            <w:pPr>
              <w:pStyle w:val="TableCell"/>
              <w:rPr>
                <w:sz w:val="24"/>
                <w:szCs w:val="24"/>
              </w:rPr>
            </w:pPr>
            <w:r w:rsidRPr="008A0770">
              <w:rPr>
                <w:sz w:val="24"/>
                <w:szCs w:val="24"/>
              </w:rPr>
              <w:t>Cassava</w:t>
            </w:r>
          </w:p>
        </w:tc>
        <w:tc>
          <w:tcPr>
            <w:tcW w:w="1260" w:type="dxa"/>
            <w:vAlign w:val="center"/>
          </w:tcPr>
          <w:p w:rsidR="009C29EC" w:rsidRPr="008A0770" w:rsidRDefault="008A0666" w:rsidP="008A0770">
            <w:pPr>
              <w:pStyle w:val="TableCell"/>
              <w:rPr>
                <w:sz w:val="24"/>
                <w:szCs w:val="24"/>
              </w:rPr>
            </w:pPr>
            <w:r w:rsidRPr="008A0770">
              <w:rPr>
                <w:sz w:val="24"/>
                <w:szCs w:val="24"/>
              </w:rPr>
              <w:t>178,600</w:t>
            </w:r>
          </w:p>
        </w:tc>
        <w:tc>
          <w:tcPr>
            <w:tcW w:w="1260" w:type="dxa"/>
            <w:vAlign w:val="center"/>
          </w:tcPr>
          <w:p w:rsidR="009C29EC" w:rsidRPr="008A0770" w:rsidRDefault="008A0666" w:rsidP="008A0770">
            <w:pPr>
              <w:pStyle w:val="TableCell"/>
              <w:rPr>
                <w:sz w:val="24"/>
                <w:szCs w:val="24"/>
              </w:rPr>
            </w:pPr>
            <w:r w:rsidRPr="008A0770">
              <w:rPr>
                <w:sz w:val="24"/>
                <w:szCs w:val="24"/>
              </w:rPr>
              <w:t>94,400</w:t>
            </w:r>
          </w:p>
        </w:tc>
        <w:tc>
          <w:tcPr>
            <w:tcW w:w="1260" w:type="dxa"/>
            <w:vAlign w:val="center"/>
          </w:tcPr>
          <w:p w:rsidR="009C29EC" w:rsidRPr="008A0770" w:rsidRDefault="008A0666" w:rsidP="008A0770">
            <w:pPr>
              <w:pStyle w:val="TableCell"/>
              <w:rPr>
                <w:sz w:val="24"/>
                <w:szCs w:val="24"/>
              </w:rPr>
            </w:pPr>
            <w:r w:rsidRPr="008A0770">
              <w:rPr>
                <w:b/>
                <w:bCs/>
                <w:sz w:val="24"/>
                <w:szCs w:val="24"/>
              </w:rPr>
              <w:t>84,200</w:t>
            </w:r>
          </w:p>
        </w:tc>
        <w:tc>
          <w:tcPr>
            <w:tcW w:w="1260" w:type="dxa"/>
            <w:vAlign w:val="center"/>
          </w:tcPr>
          <w:p w:rsidR="009C29EC" w:rsidRPr="008A0770" w:rsidRDefault="008A0666" w:rsidP="008A0770">
            <w:pPr>
              <w:pStyle w:val="TableCell"/>
              <w:rPr>
                <w:sz w:val="24"/>
                <w:szCs w:val="24"/>
              </w:rPr>
            </w:pPr>
            <w:r w:rsidRPr="008A0770">
              <w:rPr>
                <w:sz w:val="24"/>
                <w:szCs w:val="24"/>
              </w:rPr>
              <w:t>1,880 kg</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3</w:t>
            </w:r>
          </w:p>
        </w:tc>
        <w:tc>
          <w:tcPr>
            <w:tcW w:w="945" w:type="dxa"/>
            <w:vAlign w:val="center"/>
          </w:tcPr>
          <w:p w:rsidR="009C29EC" w:rsidRPr="008A0770" w:rsidRDefault="008A0666" w:rsidP="008A0770">
            <w:pPr>
              <w:pStyle w:val="TableCell"/>
              <w:rPr>
                <w:sz w:val="24"/>
                <w:szCs w:val="24"/>
              </w:rPr>
            </w:pPr>
            <w:r w:rsidRPr="008A0770">
              <w:rPr>
                <w:sz w:val="24"/>
                <w:szCs w:val="24"/>
              </w:rPr>
              <w:t>Maize</w:t>
            </w:r>
          </w:p>
        </w:tc>
        <w:tc>
          <w:tcPr>
            <w:tcW w:w="1260" w:type="dxa"/>
            <w:vAlign w:val="center"/>
          </w:tcPr>
          <w:p w:rsidR="009C29EC" w:rsidRPr="008A0770" w:rsidRDefault="008A0666" w:rsidP="008A0770">
            <w:pPr>
              <w:pStyle w:val="TableCell"/>
              <w:rPr>
                <w:sz w:val="24"/>
                <w:szCs w:val="24"/>
              </w:rPr>
            </w:pPr>
            <w:r w:rsidRPr="008A0770">
              <w:rPr>
                <w:sz w:val="24"/>
                <w:szCs w:val="24"/>
              </w:rPr>
              <w:t>45,000</w:t>
            </w:r>
          </w:p>
        </w:tc>
        <w:tc>
          <w:tcPr>
            <w:tcW w:w="1260" w:type="dxa"/>
            <w:vAlign w:val="center"/>
          </w:tcPr>
          <w:p w:rsidR="009C29EC" w:rsidRPr="008A0770" w:rsidRDefault="008A0666" w:rsidP="008A0770">
            <w:pPr>
              <w:pStyle w:val="TableCell"/>
              <w:rPr>
                <w:sz w:val="24"/>
                <w:szCs w:val="24"/>
              </w:rPr>
            </w:pPr>
            <w:r w:rsidRPr="008A0770">
              <w:rPr>
                <w:sz w:val="24"/>
                <w:szCs w:val="24"/>
              </w:rPr>
              <w:t>3,500</w:t>
            </w:r>
          </w:p>
        </w:tc>
        <w:tc>
          <w:tcPr>
            <w:tcW w:w="1260" w:type="dxa"/>
            <w:vAlign w:val="center"/>
          </w:tcPr>
          <w:p w:rsidR="009C29EC" w:rsidRPr="008A0770" w:rsidRDefault="008A0666" w:rsidP="008A0770">
            <w:pPr>
              <w:pStyle w:val="TableCell"/>
              <w:rPr>
                <w:sz w:val="24"/>
                <w:szCs w:val="24"/>
              </w:rPr>
            </w:pPr>
            <w:r w:rsidRPr="008A0770">
              <w:rPr>
                <w:b/>
                <w:bCs/>
                <w:sz w:val="24"/>
                <w:szCs w:val="24"/>
              </w:rPr>
              <w:t>41,500</w:t>
            </w:r>
          </w:p>
        </w:tc>
        <w:tc>
          <w:tcPr>
            <w:tcW w:w="1260" w:type="dxa"/>
            <w:vAlign w:val="center"/>
          </w:tcPr>
          <w:p w:rsidR="009C29EC" w:rsidRPr="008A0770" w:rsidRDefault="008A0666" w:rsidP="008A0770">
            <w:pPr>
              <w:pStyle w:val="TableCell"/>
              <w:rPr>
                <w:sz w:val="24"/>
                <w:szCs w:val="24"/>
              </w:rPr>
            </w:pPr>
            <w:r w:rsidRPr="008A0770">
              <w:rPr>
                <w:sz w:val="24"/>
                <w:szCs w:val="24"/>
              </w:rPr>
              <w:t>100 kg</w:t>
            </w:r>
          </w:p>
        </w:tc>
        <w:tc>
          <w:tcPr>
            <w:tcW w:w="1260" w:type="dxa"/>
            <w:vAlign w:val="center"/>
          </w:tcPr>
          <w:p w:rsidR="009C29EC" w:rsidRPr="008A0770" w:rsidRDefault="008A0666" w:rsidP="008A0770">
            <w:pPr>
              <w:pStyle w:val="TableCell"/>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4</w:t>
            </w:r>
          </w:p>
        </w:tc>
        <w:tc>
          <w:tcPr>
            <w:tcW w:w="945" w:type="dxa"/>
            <w:vAlign w:val="center"/>
          </w:tcPr>
          <w:p w:rsidR="009C29EC" w:rsidRPr="008A0770" w:rsidRDefault="008A0666" w:rsidP="008A0770">
            <w:pPr>
              <w:pStyle w:val="TableCell"/>
              <w:rPr>
                <w:sz w:val="24"/>
                <w:szCs w:val="24"/>
              </w:rPr>
            </w:pPr>
            <w:r w:rsidRPr="008A0770">
              <w:rPr>
                <w:sz w:val="24"/>
                <w:szCs w:val="24"/>
              </w:rPr>
              <w:t>Tomato</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112,900</w:t>
            </w:r>
          </w:p>
        </w:tc>
        <w:tc>
          <w:tcPr>
            <w:tcW w:w="1260" w:type="dxa"/>
            <w:vAlign w:val="center"/>
          </w:tcPr>
          <w:p w:rsidR="009C29EC" w:rsidRPr="008A0770" w:rsidRDefault="008A0666" w:rsidP="008A0770">
            <w:pPr>
              <w:pStyle w:val="TableCell"/>
              <w:rPr>
                <w:sz w:val="24"/>
                <w:szCs w:val="24"/>
              </w:rPr>
            </w:pPr>
            <w:r w:rsidRPr="008A0770">
              <w:rPr>
                <w:b/>
                <w:bCs/>
                <w:sz w:val="24"/>
                <w:szCs w:val="24"/>
              </w:rPr>
              <w:t>−112,900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5</w:t>
            </w:r>
          </w:p>
        </w:tc>
        <w:tc>
          <w:tcPr>
            <w:tcW w:w="945" w:type="dxa"/>
            <w:vAlign w:val="center"/>
          </w:tcPr>
          <w:p w:rsidR="009C29EC" w:rsidRPr="008A0770" w:rsidRDefault="008A0666" w:rsidP="008A0770">
            <w:pPr>
              <w:pStyle w:val="TableCell"/>
              <w:rPr>
                <w:sz w:val="24"/>
                <w:szCs w:val="24"/>
              </w:rPr>
            </w:pPr>
            <w:r w:rsidRPr="008A0770">
              <w:rPr>
                <w:sz w:val="24"/>
                <w:szCs w:val="24"/>
              </w:rPr>
              <w:t>Sorghum</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119,950</w:t>
            </w:r>
          </w:p>
        </w:tc>
        <w:tc>
          <w:tcPr>
            <w:tcW w:w="1260" w:type="dxa"/>
            <w:vAlign w:val="center"/>
          </w:tcPr>
          <w:p w:rsidR="009C29EC" w:rsidRPr="008A0770" w:rsidRDefault="008A0666" w:rsidP="008A0770">
            <w:pPr>
              <w:pStyle w:val="TableCell"/>
              <w:rPr>
                <w:sz w:val="24"/>
                <w:szCs w:val="24"/>
              </w:rPr>
            </w:pPr>
            <w:r w:rsidRPr="008A0770">
              <w:rPr>
                <w:b/>
                <w:bCs/>
                <w:sz w:val="24"/>
                <w:szCs w:val="24"/>
              </w:rPr>
              <w:t>−119,950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rPr>
                <w:sz w:val="24"/>
                <w:szCs w:val="24"/>
              </w:rPr>
            </w:pPr>
          </w:p>
        </w:tc>
        <w:tc>
          <w:tcPr>
            <w:tcW w:w="945" w:type="dxa"/>
            <w:vAlign w:val="center"/>
          </w:tcPr>
          <w:p w:rsidR="009C29EC" w:rsidRPr="008A0770" w:rsidRDefault="008A0666" w:rsidP="008A0770">
            <w:pPr>
              <w:pStyle w:val="TableCell"/>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rPr>
                <w:sz w:val="24"/>
                <w:szCs w:val="24"/>
              </w:rPr>
            </w:pPr>
            <w:r w:rsidRPr="008A0770">
              <w:rPr>
                <w:b/>
                <w:bCs/>
                <w:sz w:val="24"/>
                <w:szCs w:val="24"/>
              </w:rPr>
              <w:t>848,550</w:t>
            </w:r>
          </w:p>
        </w:tc>
        <w:tc>
          <w:tcPr>
            <w:tcW w:w="1260" w:type="dxa"/>
            <w:vAlign w:val="center"/>
          </w:tcPr>
          <w:p w:rsidR="009C29EC" w:rsidRPr="008A0770" w:rsidRDefault="008A0666" w:rsidP="008A0770">
            <w:pPr>
              <w:pStyle w:val="TableCell"/>
              <w:rPr>
                <w:sz w:val="24"/>
                <w:szCs w:val="24"/>
              </w:rPr>
            </w:pPr>
            <w:r w:rsidRPr="008A0770">
              <w:rPr>
                <w:b/>
                <w:bCs/>
                <w:sz w:val="24"/>
                <w:szCs w:val="24"/>
              </w:rPr>
              <w:t>598,450</w:t>
            </w:r>
          </w:p>
        </w:tc>
        <w:tc>
          <w:tcPr>
            <w:tcW w:w="1260" w:type="dxa"/>
            <w:vAlign w:val="center"/>
          </w:tcPr>
          <w:p w:rsidR="009C29EC" w:rsidRPr="008A0770" w:rsidRDefault="008A0666" w:rsidP="008A0770">
            <w:pPr>
              <w:pStyle w:val="TableCell"/>
              <w:rPr>
                <w:sz w:val="24"/>
                <w:szCs w:val="24"/>
              </w:rPr>
            </w:pPr>
            <w:r w:rsidRPr="008A0770">
              <w:rPr>
                <w:b/>
                <w:bCs/>
                <w:sz w:val="24"/>
                <w:szCs w:val="24"/>
              </w:rPr>
              <w:t>250,100</w:t>
            </w:r>
          </w:p>
        </w:tc>
        <w:tc>
          <w:tcPr>
            <w:tcW w:w="1260" w:type="dxa"/>
            <w:vAlign w:val="center"/>
          </w:tcPr>
          <w:p w:rsidR="009C29EC" w:rsidRPr="008A0770" w:rsidRDefault="009C29EC" w:rsidP="008A0770">
            <w:pPr>
              <w:pStyle w:val="TableCell"/>
              <w:rPr>
                <w:sz w:val="24"/>
                <w:szCs w:val="24"/>
              </w:rPr>
            </w:pPr>
          </w:p>
        </w:tc>
        <w:tc>
          <w:tcPr>
            <w:tcW w:w="1260" w:type="dxa"/>
            <w:vAlign w:val="center"/>
          </w:tcPr>
          <w:p w:rsidR="009C29EC" w:rsidRPr="008A0770" w:rsidRDefault="009C29EC" w:rsidP="008A0770">
            <w:pPr>
              <w:pStyle w:val="TableCell"/>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100 kg</w:t>
            </w:r>
          </w:p>
        </w:tc>
        <w:tc>
          <w:tcPr>
            <w:tcW w:w="2001" w:type="dxa"/>
            <w:vAlign w:val="center"/>
          </w:tcPr>
          <w:p w:rsidR="009C29EC" w:rsidRPr="003A60A6" w:rsidRDefault="008A0666">
            <w:pPr>
              <w:pStyle w:val="TableCell"/>
              <w:rPr>
                <w:sz w:val="24"/>
                <w:szCs w:val="24"/>
              </w:rPr>
            </w:pPr>
            <w:r w:rsidRPr="003A60A6">
              <w:rPr>
                <w:b/>
                <w:bCs/>
                <w:sz w:val="24"/>
                <w:szCs w:val="24"/>
              </w:rPr>
              <w:t>₦35.00 / kg</w:t>
            </w:r>
          </w:p>
        </w:tc>
        <w:tc>
          <w:tcPr>
            <w:tcW w:w="1501" w:type="dxa"/>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Cassava</w:t>
            </w:r>
          </w:p>
        </w:tc>
        <w:tc>
          <w:tcPr>
            <w:tcW w:w="1501" w:type="dxa"/>
            <w:vAlign w:val="center"/>
          </w:tcPr>
          <w:p w:rsidR="009C29EC" w:rsidRPr="003A60A6" w:rsidRDefault="008A0666">
            <w:pPr>
              <w:pStyle w:val="TableCell"/>
              <w:rPr>
                <w:sz w:val="24"/>
                <w:szCs w:val="24"/>
              </w:rPr>
            </w:pPr>
            <w:r w:rsidRPr="003A60A6">
              <w:rPr>
                <w:sz w:val="24"/>
                <w:szCs w:val="24"/>
              </w:rPr>
              <w:t>Harvest mass</w:t>
            </w:r>
          </w:p>
        </w:tc>
        <w:tc>
          <w:tcPr>
            <w:tcW w:w="2000" w:type="dxa"/>
            <w:vAlign w:val="center"/>
          </w:tcPr>
          <w:p w:rsidR="009C29EC" w:rsidRPr="003A60A6" w:rsidRDefault="008A0666">
            <w:pPr>
              <w:pStyle w:val="TableCell"/>
              <w:rPr>
                <w:sz w:val="24"/>
                <w:szCs w:val="24"/>
              </w:rPr>
            </w:pPr>
            <w:r w:rsidRPr="003A60A6">
              <w:rPr>
                <w:sz w:val="24"/>
                <w:szCs w:val="24"/>
              </w:rPr>
              <w:t>1,880 kg</w:t>
            </w:r>
          </w:p>
        </w:tc>
        <w:tc>
          <w:tcPr>
            <w:tcW w:w="2001" w:type="dxa"/>
            <w:vAlign w:val="center"/>
          </w:tcPr>
          <w:p w:rsidR="009C29EC" w:rsidRPr="003A60A6" w:rsidRDefault="008A0666">
            <w:pPr>
              <w:pStyle w:val="TableCell"/>
              <w:rPr>
                <w:sz w:val="24"/>
                <w:szCs w:val="24"/>
              </w:rPr>
            </w:pPr>
            <w:r w:rsidRPr="003A60A6">
              <w:rPr>
                <w:sz w:val="24"/>
                <w:szCs w:val="24"/>
              </w:rPr>
              <w:t>₦50.21 / kg</w:t>
            </w:r>
          </w:p>
        </w:tc>
        <w:tc>
          <w:tcPr>
            <w:tcW w:w="1501" w:type="dxa"/>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w:t>
      </w:r>
      <w:r>
        <w:rPr>
          <w:szCs w:val="24"/>
        </w:rPr>
        <w:lastRenderedPageBreak/>
        <w:t>₦63.40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Maize</w:t>
            </w:r>
          </w:p>
        </w:tc>
        <w:tc>
          <w:tcPr>
            <w:tcW w:w="1791" w:type="dxa"/>
            <w:vAlign w:val="center"/>
          </w:tcPr>
          <w:p w:rsidR="009C29EC" w:rsidRPr="004F5D51" w:rsidRDefault="008A0666" w:rsidP="004F5D51">
            <w:pPr>
              <w:pStyle w:val="TableCell"/>
              <w:rPr>
                <w:sz w:val="24"/>
                <w:szCs w:val="24"/>
              </w:rPr>
            </w:pPr>
            <w:r w:rsidRPr="004F5D51">
              <w:rPr>
                <w:sz w:val="24"/>
                <w:szCs w:val="24"/>
              </w:rPr>
              <w:t>3,500</w:t>
            </w:r>
          </w:p>
        </w:tc>
        <w:tc>
          <w:tcPr>
            <w:tcW w:w="1790" w:type="dxa"/>
            <w:vAlign w:val="center"/>
          </w:tcPr>
          <w:p w:rsidR="009C29EC" w:rsidRPr="004F5D51" w:rsidRDefault="008A0666" w:rsidP="004F5D51">
            <w:pPr>
              <w:pStyle w:val="TableCell"/>
              <w:rPr>
                <w:sz w:val="24"/>
                <w:szCs w:val="24"/>
              </w:rPr>
            </w:pPr>
            <w:r w:rsidRPr="004F5D51">
              <w:rPr>
                <w:sz w:val="24"/>
                <w:szCs w:val="24"/>
              </w:rPr>
              <w:t>450.00</w:t>
            </w:r>
          </w:p>
        </w:tc>
        <w:tc>
          <w:tcPr>
            <w:tcW w:w="1790" w:type="dxa"/>
            <w:vAlign w:val="center"/>
          </w:tcPr>
          <w:p w:rsidR="009C29EC" w:rsidRPr="004F5D51" w:rsidRDefault="008A0666" w:rsidP="004F5D51">
            <w:pPr>
              <w:pStyle w:val="TableCell"/>
              <w:rPr>
                <w:sz w:val="24"/>
                <w:szCs w:val="24"/>
              </w:rPr>
            </w:pPr>
            <w:r w:rsidRPr="004F5D51">
              <w:rPr>
                <w:b/>
                <w:bCs/>
                <w:sz w:val="24"/>
                <w:szCs w:val="24"/>
              </w:rPr>
              <w:t>7.78 kg</w:t>
            </w:r>
          </w:p>
        </w:tc>
        <w:tc>
          <w:tcPr>
            <w:tcW w:w="1790" w:type="dxa"/>
            <w:vAlign w:val="center"/>
          </w:tcPr>
          <w:p w:rsidR="009C29EC" w:rsidRPr="004F5D51" w:rsidRDefault="008A0666" w:rsidP="004F5D51">
            <w:pPr>
              <w:pStyle w:val="TableCell"/>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Cassava</w:t>
            </w:r>
          </w:p>
        </w:tc>
        <w:tc>
          <w:tcPr>
            <w:tcW w:w="1791" w:type="dxa"/>
            <w:vAlign w:val="center"/>
          </w:tcPr>
          <w:p w:rsidR="009C29EC" w:rsidRPr="004F5D51" w:rsidRDefault="008A0666" w:rsidP="004F5D51">
            <w:pPr>
              <w:pStyle w:val="TableCell"/>
              <w:rPr>
                <w:sz w:val="24"/>
                <w:szCs w:val="24"/>
              </w:rPr>
            </w:pPr>
            <w:r w:rsidRPr="004F5D51">
              <w:rPr>
                <w:sz w:val="24"/>
                <w:szCs w:val="24"/>
              </w:rPr>
              <w:t>94,400</w:t>
            </w:r>
          </w:p>
        </w:tc>
        <w:tc>
          <w:tcPr>
            <w:tcW w:w="1790" w:type="dxa"/>
            <w:vAlign w:val="center"/>
          </w:tcPr>
          <w:p w:rsidR="009C29EC" w:rsidRPr="004F5D51" w:rsidRDefault="008A0666" w:rsidP="004F5D51">
            <w:pPr>
              <w:pStyle w:val="TableCell"/>
              <w:rPr>
                <w:sz w:val="24"/>
                <w:szCs w:val="24"/>
              </w:rPr>
            </w:pPr>
            <w:r w:rsidRPr="004F5D51">
              <w:rPr>
                <w:sz w:val="24"/>
                <w:szCs w:val="24"/>
              </w:rPr>
              <w:t>95.00</w:t>
            </w:r>
          </w:p>
        </w:tc>
        <w:tc>
          <w:tcPr>
            <w:tcW w:w="1790" w:type="dxa"/>
            <w:vAlign w:val="center"/>
          </w:tcPr>
          <w:p w:rsidR="009C29EC" w:rsidRPr="004F5D51" w:rsidRDefault="008A0666" w:rsidP="004F5D51">
            <w:pPr>
              <w:pStyle w:val="TableCell"/>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Cowpea</w:t>
            </w:r>
          </w:p>
        </w:tc>
        <w:tc>
          <w:tcPr>
            <w:tcW w:w="1791" w:type="dxa"/>
            <w:vAlign w:val="center"/>
          </w:tcPr>
          <w:p w:rsidR="009C29EC" w:rsidRPr="004F5D51" w:rsidRDefault="008A0666" w:rsidP="004F5D51">
            <w:pPr>
              <w:pStyle w:val="TableCell"/>
              <w:rPr>
                <w:sz w:val="24"/>
                <w:szCs w:val="24"/>
              </w:rPr>
            </w:pPr>
            <w:r w:rsidRPr="004F5D51">
              <w:rPr>
                <w:sz w:val="24"/>
                <w:szCs w:val="24"/>
              </w:rPr>
              <w:t>267,700</w:t>
            </w:r>
          </w:p>
        </w:tc>
        <w:tc>
          <w:tcPr>
            <w:tcW w:w="1790" w:type="dxa"/>
            <w:vAlign w:val="center"/>
          </w:tcPr>
          <w:p w:rsidR="009C29EC" w:rsidRPr="004F5D51" w:rsidRDefault="008A0666" w:rsidP="004F5D51">
            <w:pPr>
              <w:pStyle w:val="TableCell"/>
              <w:rPr>
                <w:sz w:val="24"/>
                <w:szCs w:val="24"/>
              </w:rPr>
            </w:pPr>
            <w:r w:rsidRPr="004F5D51">
              <w:rPr>
                <w:sz w:val="24"/>
                <w:szCs w:val="24"/>
              </w:rPr>
              <w:t>1,301.98</w:t>
            </w:r>
          </w:p>
        </w:tc>
        <w:tc>
          <w:tcPr>
            <w:tcW w:w="1790" w:type="dxa"/>
            <w:vAlign w:val="center"/>
          </w:tcPr>
          <w:p w:rsidR="009C29EC" w:rsidRPr="004F5D51" w:rsidRDefault="008A0666" w:rsidP="004F5D51">
            <w:pPr>
              <w:pStyle w:val="TableCell"/>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Tomato</w:t>
            </w:r>
          </w:p>
        </w:tc>
        <w:tc>
          <w:tcPr>
            <w:tcW w:w="1791" w:type="dxa"/>
            <w:vAlign w:val="center"/>
          </w:tcPr>
          <w:p w:rsidR="009C29EC" w:rsidRPr="004F5D51" w:rsidRDefault="008A0666" w:rsidP="004F5D51">
            <w:pPr>
              <w:pStyle w:val="TableCell"/>
              <w:rPr>
                <w:sz w:val="24"/>
                <w:szCs w:val="24"/>
              </w:rPr>
            </w:pPr>
            <w:r w:rsidRPr="004F5D51">
              <w:rPr>
                <w:sz w:val="24"/>
                <w:szCs w:val="24"/>
              </w:rPr>
              <w:t>112,900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Sorghum</w:t>
            </w:r>
          </w:p>
        </w:tc>
        <w:tc>
          <w:tcPr>
            <w:tcW w:w="1791" w:type="dxa"/>
            <w:vAlign w:val="center"/>
          </w:tcPr>
          <w:p w:rsidR="009C29EC" w:rsidRPr="004F5D51" w:rsidRDefault="008A0666" w:rsidP="004F5D51">
            <w:pPr>
              <w:pStyle w:val="TableCell"/>
              <w:rPr>
                <w:sz w:val="24"/>
                <w:szCs w:val="24"/>
              </w:rPr>
            </w:pPr>
            <w:r w:rsidRPr="004F5D51">
              <w:rPr>
                <w:sz w:val="24"/>
                <w:szCs w:val="24"/>
              </w:rPr>
              <w:t>119,950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lastRenderedPageBreak/>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pPr>
            <w:r>
              <w:rPr>
                <w:b/>
                <w:bCs/>
                <w:sz w:val="22"/>
              </w:rPr>
              <w:t>Quantity</w:t>
            </w:r>
          </w:p>
        </w:tc>
        <w:tc>
          <w:tcPr>
            <w:tcW w:w="2550" w:type="dxa"/>
            <w:tcBorders>
              <w:bottom w:val="single" w:sz="8" w:space="0" w:color="auto"/>
            </w:tcBorders>
            <w:vAlign w:val="center"/>
          </w:tcPr>
          <w:p w:rsidR="009C29EC" w:rsidRDefault="008A0666">
            <w:pPr>
              <w:pStyle w:val="TableCell"/>
            </w:pPr>
            <w:r>
              <w:rPr>
                <w:b/>
                <w:bCs/>
                <w:sz w:val="22"/>
              </w:rPr>
              <w:t>Maize</w:t>
            </w:r>
          </w:p>
        </w:tc>
        <w:tc>
          <w:tcPr>
            <w:tcW w:w="2550" w:type="dxa"/>
            <w:tcBorders>
              <w:bottom w:val="single" w:sz="8" w:space="0" w:color="auto"/>
            </w:tcBorders>
            <w:vAlign w:val="center"/>
          </w:tcPr>
          <w:p w:rsidR="009C29EC" w:rsidRDefault="008A0666">
            <w:pPr>
              <w:pStyle w:val="TableCell"/>
            </w:pPr>
            <w:r>
              <w:rPr>
                <w:b/>
                <w:bCs/>
                <w:sz w:val="22"/>
              </w:rPr>
              <w:t>Cowpea</w:t>
            </w:r>
          </w:p>
        </w:tc>
      </w:tr>
      <w:tr w:rsidR="009C29EC">
        <w:trPr>
          <w:cantSplit/>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cantSplit/>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cantSplit/>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cantSplit/>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cantSplit/>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cantSplit/>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cantSplit/>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pPr>
            <w:r>
              <w:rPr>
                <w:b/>
                <w:bCs/>
                <w:sz w:val="22"/>
              </w:rPr>
              <w:t>Yield scenario</w:t>
            </w:r>
          </w:p>
        </w:tc>
        <w:tc>
          <w:tcPr>
            <w:tcW w:w="2126" w:type="dxa"/>
            <w:tcBorders>
              <w:bottom w:val="single" w:sz="8" w:space="0" w:color="auto"/>
            </w:tcBorders>
            <w:vAlign w:val="center"/>
          </w:tcPr>
          <w:p w:rsidR="009C29EC" w:rsidRDefault="008A0666">
            <w:pPr>
              <w:pStyle w:val="TableCell"/>
            </w:pPr>
            <w:r>
              <w:rPr>
                <w:b/>
                <w:bCs/>
                <w:sz w:val="22"/>
              </w:rPr>
              <w:t>Marketable mass</w:t>
            </w:r>
          </w:p>
        </w:tc>
        <w:tc>
          <w:tcPr>
            <w:tcW w:w="2126" w:type="dxa"/>
            <w:tcBorders>
              <w:bottom w:val="single" w:sz="8" w:space="0" w:color="auto"/>
            </w:tcBorders>
            <w:vAlign w:val="center"/>
          </w:tcPr>
          <w:p w:rsidR="009C29EC" w:rsidRDefault="008A0666">
            <w:pPr>
              <w:pStyle w:val="TableCell"/>
            </w:pPr>
            <w:r>
              <w:rPr>
                <w:b/>
                <w:bCs/>
                <w:sz w:val="22"/>
              </w:rPr>
              <w:t>Break-even price, cash</w:t>
            </w:r>
          </w:p>
        </w:tc>
        <w:tc>
          <w:tcPr>
            <w:tcW w:w="2126" w:type="dxa"/>
            <w:tcBorders>
              <w:bottom w:val="single" w:sz="8" w:space="0" w:color="auto"/>
            </w:tcBorders>
            <w:vAlign w:val="center"/>
          </w:tcPr>
          <w:p w:rsidR="009C29EC" w:rsidRDefault="008A0666">
            <w:pPr>
              <w:pStyle w:val="TableCell"/>
            </w:pPr>
            <w:r>
              <w:rPr>
                <w:b/>
                <w:bCs/>
                <w:sz w:val="22"/>
              </w:rPr>
              <w:t>Break-even price, total</w:t>
            </w:r>
          </w:p>
        </w:tc>
      </w:tr>
      <w:tr w:rsidR="009C29EC">
        <w:trPr>
          <w:cantSplit/>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cantSplit/>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cantSplit/>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cantSplit/>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cantSplit/>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pPr>
            <w:r>
              <w:rPr>
                <w:b/>
                <w:bCs/>
                <w:szCs w:val="20"/>
              </w:rPr>
              <w:t>Crop</w:t>
            </w:r>
          </w:p>
        </w:tc>
        <w:tc>
          <w:tcPr>
            <w:tcW w:w="1099" w:type="dxa"/>
            <w:tcBorders>
              <w:bottom w:val="single" w:sz="8" w:space="0" w:color="auto"/>
            </w:tcBorders>
            <w:vAlign w:val="center"/>
          </w:tcPr>
          <w:p w:rsidR="009C29EC" w:rsidRDefault="008A0666">
            <w:pPr>
              <w:pStyle w:val="TableCell"/>
            </w:pPr>
            <w:r>
              <w:rPr>
                <w:b/>
                <w:bCs/>
                <w:szCs w:val="20"/>
              </w:rPr>
              <w:t>Runs</w:t>
            </w:r>
          </w:p>
        </w:tc>
        <w:tc>
          <w:tcPr>
            <w:tcW w:w="1097" w:type="dxa"/>
            <w:tcBorders>
              <w:bottom w:val="single" w:sz="8" w:space="0" w:color="auto"/>
            </w:tcBorders>
            <w:vAlign w:val="center"/>
          </w:tcPr>
          <w:p w:rsidR="009C29EC" w:rsidRDefault="008A0666">
            <w:pPr>
              <w:pStyle w:val="TableCell"/>
            </w:pPr>
            <w:r>
              <w:rPr>
                <w:b/>
                <w:bCs/>
                <w:szCs w:val="20"/>
              </w:rPr>
              <w:t>Mass in</w:t>
            </w:r>
          </w:p>
        </w:tc>
        <w:tc>
          <w:tcPr>
            <w:tcW w:w="1097" w:type="dxa"/>
            <w:tcBorders>
              <w:bottom w:val="single" w:sz="8" w:space="0" w:color="auto"/>
            </w:tcBorders>
            <w:vAlign w:val="center"/>
          </w:tcPr>
          <w:p w:rsidR="009C29EC" w:rsidRDefault="008A0666">
            <w:pPr>
              <w:pStyle w:val="TableCell"/>
            </w:pPr>
            <w:r>
              <w:rPr>
                <w:b/>
                <w:bCs/>
                <w:szCs w:val="20"/>
              </w:rPr>
              <w:t>Marketable mass</w:t>
            </w:r>
          </w:p>
        </w:tc>
        <w:tc>
          <w:tcPr>
            <w:tcW w:w="1097" w:type="dxa"/>
            <w:tcBorders>
              <w:bottom w:val="single" w:sz="8" w:space="0" w:color="auto"/>
            </w:tcBorders>
            <w:vAlign w:val="center"/>
          </w:tcPr>
          <w:p w:rsidR="009C29EC" w:rsidRDefault="008A0666">
            <w:pPr>
              <w:pStyle w:val="TableCell"/>
            </w:pPr>
            <w:r>
              <w:rPr>
                <w:b/>
                <w:bCs/>
                <w:szCs w:val="20"/>
              </w:rPr>
              <w:t>Water removed</w:t>
            </w:r>
          </w:p>
        </w:tc>
        <w:tc>
          <w:tcPr>
            <w:tcW w:w="1097" w:type="dxa"/>
            <w:tcBorders>
              <w:bottom w:val="single" w:sz="8" w:space="0" w:color="auto"/>
            </w:tcBorders>
            <w:vAlign w:val="center"/>
          </w:tcPr>
          <w:p w:rsidR="009C29EC" w:rsidRDefault="008A0666">
            <w:pPr>
              <w:pStyle w:val="TableCell"/>
            </w:pPr>
            <w:r>
              <w:rPr>
                <w:b/>
                <w:bCs/>
                <w:szCs w:val="20"/>
              </w:rPr>
              <w:t>Mean drying rate</w:t>
            </w:r>
          </w:p>
        </w:tc>
        <w:tc>
          <w:tcPr>
            <w:tcW w:w="1097" w:type="dxa"/>
            <w:tcBorders>
              <w:bottom w:val="single" w:sz="8" w:space="0" w:color="auto"/>
            </w:tcBorders>
            <w:vAlign w:val="center"/>
          </w:tcPr>
          <w:p w:rsidR="009C29EC" w:rsidRDefault="008A0666">
            <w:pPr>
              <w:pStyle w:val="TableCell"/>
            </w:pPr>
            <w:r>
              <w:rPr>
                <w:b/>
                <w:bCs/>
                <w:szCs w:val="20"/>
              </w:rPr>
              <w:t>Mean Newton k (solar dryer)</w:t>
            </w:r>
          </w:p>
        </w:tc>
        <w:tc>
          <w:tcPr>
            <w:tcW w:w="1097" w:type="dxa"/>
            <w:tcBorders>
              <w:bottom w:val="single" w:sz="8" w:space="0" w:color="auto"/>
            </w:tcBorders>
            <w:vAlign w:val="center"/>
          </w:tcPr>
          <w:p w:rsidR="009C29EC" w:rsidRDefault="008A0666">
            <w:pPr>
              <w:pStyle w:val="TableCell"/>
            </w:pPr>
            <w:r>
              <w:rPr>
                <w:b/>
                <w:bCs/>
                <w:szCs w:val="20"/>
              </w:rPr>
              <w:t>Safe-storage share</w:t>
            </w:r>
          </w:p>
        </w:tc>
      </w:tr>
      <w:tr w:rsidR="009C29EC">
        <w:trPr>
          <w:cantSplit/>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cantSplit/>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Bucket</w:t>
            </w:r>
          </w:p>
        </w:tc>
        <w:tc>
          <w:tcPr>
            <w:tcW w:w="2835" w:type="dxa"/>
            <w:tcBorders>
              <w:bottom w:val="single" w:sz="8" w:space="0" w:color="auto"/>
            </w:tcBorders>
            <w:vAlign w:val="center"/>
          </w:tcPr>
          <w:p w:rsidR="009C29EC" w:rsidRDefault="008A0666">
            <w:pPr>
              <w:pStyle w:val="TableCell"/>
            </w:pPr>
            <w:r>
              <w:rPr>
                <w:b/>
                <w:bCs/>
                <w:sz w:val="22"/>
              </w:rPr>
              <w:t>Maize (₦)</w:t>
            </w:r>
          </w:p>
        </w:tc>
        <w:tc>
          <w:tcPr>
            <w:tcW w:w="2835" w:type="dxa"/>
            <w:tcBorders>
              <w:bottom w:val="single" w:sz="8" w:space="0" w:color="auto"/>
            </w:tcBorders>
            <w:vAlign w:val="center"/>
          </w:tcPr>
          <w:p w:rsidR="009C29EC" w:rsidRDefault="008A0666">
            <w:pPr>
              <w:pStyle w:val="TableCell"/>
            </w:pPr>
            <w:r>
              <w:rPr>
                <w:b/>
                <w:bCs/>
                <w:sz w:val="22"/>
              </w:rPr>
              <w:t>Whole farm (₦)</w:t>
            </w:r>
          </w:p>
        </w:tc>
      </w:tr>
      <w:tr w:rsidR="009C29EC">
        <w:trPr>
          <w:cantSplit/>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cantSplit/>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cantSplit/>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cantSplit/>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cantSplit/>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cantSplit/>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cantSplit/>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cantSplit/>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cantSplit/>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cantSplit/>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 xml:space="preserve">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w:t>
      </w:r>
      <w:proofErr w:type="spellStart"/>
      <w:r>
        <w:rPr>
          <w:szCs w:val="24"/>
        </w:rPr>
        <w:t>mechanisation</w:t>
      </w:r>
      <w:proofErr w:type="spellEnd"/>
      <w:r>
        <w:rPr>
          <w:szCs w:val="24"/>
        </w:rPr>
        <w:t xml:space="preserve">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Quantity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cantSplit/>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cantSplit/>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cantSplit/>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cantSplit/>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cantSplit/>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 farm records, decision support, dashboard, authentication and investor sharing —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lastRenderedPageBreak/>
        <w:t>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 a factor of eighty —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BodyPara"/>
      </w:pPr>
      <w:r>
        <w:rPr>
          <w:szCs w:val="24"/>
        </w:rPr>
        <w:t xml:space="preserve">The two exercised containers — the FastAPI backend and PostgreSQL 15 — measure 178.9 to 202.8 MiB at rest against the seeded dataset (Table C.1); on that footprint a 2 </w:t>
      </w:r>
      <w:r>
        <w:rPr>
          <w:szCs w:val="24"/>
        </w:rPr>
        <w:lastRenderedPageBreak/>
        <w:t>GB instance with snapshot backups, an amortised domain and a no-cost TLS certificate totals an estimated $15.40, approximately ₦20,950, per month (Table C.2), which at a conservative two-hundred-farm single-instance tenancy is ₦105 per farm per month (Table C.3).</w:t>
      </w: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w:t>
      </w:r>
      <w:r>
        <w:lastRenderedPageBreak/>
        <w:t>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heuristic checklist and the ten-item SUS questionnaire — and the frozen evidence base contains no completed instrument of any kind: no scored SUS forms, no filled heuristic checklists, no session notes, no participant records and no scans or photographs. This </w:t>
      </w:r>
      <w:r>
        <w:rPr>
          <w:szCs w:val="24"/>
        </w:rPr>
        <w:lastRenderedPageBreak/>
        <w:t>section is therefore drafted to receive real data and reports no figure that no retained instrument supports.</w:t>
      </w:r>
    </w:p>
    <w:p w:rsidR="009C29EC" w:rsidRDefault="008A0666">
      <w:pPr>
        <w:pStyle w:val="TableCaption"/>
      </w:pPr>
      <w:bookmarkStart w:id="131" w:name="_Toc238621514"/>
      <w:r>
        <w:rPr>
          <w:szCs w:val="24"/>
        </w:rPr>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Measure</w:t>
            </w:r>
          </w:p>
        </w:tc>
        <w:tc>
          <w:tcPr>
            <w:tcW w:w="1701" w:type="dxa"/>
            <w:tcBorders>
              <w:bottom w:val="single" w:sz="8" w:space="0" w:color="auto"/>
            </w:tcBorders>
            <w:vAlign w:val="center"/>
          </w:tcPr>
          <w:p w:rsidR="009C29EC" w:rsidRDefault="008A0666">
            <w:pPr>
              <w:pStyle w:val="TableCell"/>
            </w:pPr>
            <w:r>
              <w:rPr>
                <w:b/>
                <w:bCs/>
                <w:szCs w:val="20"/>
              </w:rPr>
              <w:t>Evaluator 1</w:t>
            </w:r>
          </w:p>
        </w:tc>
        <w:tc>
          <w:tcPr>
            <w:tcW w:w="1701" w:type="dxa"/>
            <w:tcBorders>
              <w:bottom w:val="single" w:sz="8" w:space="0" w:color="auto"/>
            </w:tcBorders>
            <w:vAlign w:val="center"/>
          </w:tcPr>
          <w:p w:rsidR="009C29EC" w:rsidRDefault="008A0666">
            <w:pPr>
              <w:pStyle w:val="TableCell"/>
            </w:pPr>
            <w:r>
              <w:rPr>
                <w:b/>
                <w:bCs/>
                <w:szCs w:val="20"/>
              </w:rPr>
              <w:t>Evaluator 2</w:t>
            </w:r>
          </w:p>
        </w:tc>
        <w:tc>
          <w:tcPr>
            <w:tcW w:w="1701" w:type="dxa"/>
            <w:tcBorders>
              <w:bottom w:val="single" w:sz="8" w:space="0" w:color="auto"/>
            </w:tcBorders>
            <w:vAlign w:val="center"/>
          </w:tcPr>
          <w:p w:rsidR="009C29EC" w:rsidRDefault="008A0666">
            <w:pPr>
              <w:pStyle w:val="TableCell"/>
            </w:pPr>
            <w:r>
              <w:rPr>
                <w:b/>
                <w:bCs/>
                <w:szCs w:val="20"/>
              </w:rPr>
              <w:t>Evaluator 3</w:t>
            </w:r>
          </w:p>
        </w:tc>
        <w:tc>
          <w:tcPr>
            <w:tcW w:w="1701" w:type="dxa"/>
            <w:tcBorders>
              <w:bottom w:val="single" w:sz="8" w:space="0" w:color="auto"/>
            </w:tcBorders>
            <w:vAlign w:val="center"/>
          </w:tcPr>
          <w:p w:rsidR="009C29EC" w:rsidRDefault="008A0666">
            <w:pPr>
              <w:pStyle w:val="TableCell"/>
            </w:pPr>
            <w:r>
              <w:rPr>
                <w:b/>
                <w:bCs/>
                <w:szCs w:val="20"/>
              </w:rPr>
              <w:t>Panel</w:t>
            </w:r>
          </w:p>
        </w:tc>
      </w:tr>
      <w:tr w:rsidR="009C29EC">
        <w:trPr>
          <w:cantSplit/>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w:t>
      </w:r>
      <w:proofErr w:type="spellStart"/>
      <w:r>
        <w:rPr>
          <w:szCs w:val="24"/>
        </w:rPr>
        <w:t>deduplicate</w:t>
      </w:r>
      <w:proofErr w:type="spellEnd"/>
      <w:r>
        <w:rPr>
          <w:szCs w:val="24"/>
        </w:rPr>
        <w:t>,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lastRenderedPageBreak/>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w:t>
            </w:r>
          </w:p>
        </w:tc>
        <w:tc>
          <w:tcPr>
            <w:tcW w:w="1701" w:type="dxa"/>
            <w:tcBorders>
              <w:bottom w:val="single" w:sz="8" w:space="0" w:color="auto"/>
            </w:tcBorders>
            <w:vAlign w:val="center"/>
          </w:tcPr>
          <w:p w:rsidR="009C29EC" w:rsidRDefault="008A0666">
            <w:pPr>
              <w:pStyle w:val="TableCell"/>
            </w:pPr>
            <w:r>
              <w:rPr>
                <w:b/>
                <w:bCs/>
                <w:szCs w:val="20"/>
              </w:rPr>
              <w:t>Finding</w:t>
            </w:r>
          </w:p>
        </w:tc>
        <w:tc>
          <w:tcPr>
            <w:tcW w:w="1701" w:type="dxa"/>
            <w:tcBorders>
              <w:bottom w:val="single" w:sz="8" w:space="0" w:color="auto"/>
            </w:tcBorders>
            <w:vAlign w:val="center"/>
          </w:tcPr>
          <w:p w:rsidR="009C29EC" w:rsidRDefault="008A0666">
            <w:pPr>
              <w:pStyle w:val="TableCell"/>
            </w:pPr>
            <w:r>
              <w:rPr>
                <w:b/>
                <w:bCs/>
                <w:szCs w:val="20"/>
              </w:rPr>
              <w:t>Source</w:t>
            </w:r>
          </w:p>
        </w:tc>
        <w:tc>
          <w:tcPr>
            <w:tcW w:w="1701" w:type="dxa"/>
            <w:tcBorders>
              <w:bottom w:val="single" w:sz="8" w:space="0" w:color="auto"/>
            </w:tcBorders>
            <w:vAlign w:val="center"/>
          </w:tcPr>
          <w:p w:rsidR="009C29EC" w:rsidRDefault="008A0666">
            <w:pPr>
              <w:pStyle w:val="TableCell"/>
            </w:pPr>
            <w:r>
              <w:rPr>
                <w:b/>
                <w:bCs/>
                <w:szCs w:val="20"/>
              </w:rPr>
              <w:t>Severity</w:t>
            </w:r>
          </w:p>
        </w:tc>
        <w:tc>
          <w:tcPr>
            <w:tcW w:w="1701" w:type="dxa"/>
            <w:tcBorders>
              <w:bottom w:val="single" w:sz="8" w:space="0" w:color="auto"/>
            </w:tcBorders>
            <w:vAlign w:val="center"/>
          </w:tcPr>
          <w:p w:rsidR="009C29EC" w:rsidRDefault="008A0666">
            <w:pPr>
              <w:pStyle w:val="TableCell"/>
            </w:pPr>
            <w:r>
              <w:rPr>
                <w:b/>
                <w:bCs/>
                <w:szCs w:val="20"/>
              </w:rPr>
              <w:t>Disposition</w:t>
            </w:r>
          </w:p>
        </w:tc>
      </w:tr>
      <w:tr w:rsidR="009C29EC">
        <w:trPr>
          <w:cantSplit/>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r w:rsidR="003F7E0F">
        <w:rPr>
          <w:szCs w:val="24"/>
        </w:rPr>
        <w:t>against</w:t>
      </w:r>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pPr>
            <w:r>
              <w:rPr>
                <w:b/>
                <w:bCs/>
                <w:sz w:val="22"/>
              </w:rPr>
              <w:t>Objective</w:t>
            </w:r>
          </w:p>
        </w:tc>
        <w:tc>
          <w:tcPr>
            <w:tcW w:w="3000" w:type="dxa"/>
            <w:tcBorders>
              <w:bottom w:val="single" w:sz="8" w:space="0" w:color="auto"/>
            </w:tcBorders>
            <w:vAlign w:val="center"/>
          </w:tcPr>
          <w:p w:rsidR="009C29EC" w:rsidRDefault="008A0666">
            <w:pPr>
              <w:pStyle w:val="TableCell"/>
            </w:pPr>
            <w:r>
              <w:rPr>
                <w:b/>
                <w:bCs/>
                <w:sz w:val="22"/>
              </w:rPr>
              <w:t>What the evidence shows</w:t>
            </w:r>
          </w:p>
        </w:tc>
        <w:tc>
          <w:tcPr>
            <w:tcW w:w="1244" w:type="dxa"/>
            <w:tcBorders>
              <w:bottom w:val="single" w:sz="8" w:space="0" w:color="auto"/>
            </w:tcBorders>
            <w:vAlign w:val="center"/>
          </w:tcPr>
          <w:p w:rsidR="009C29EC" w:rsidRDefault="008A0666">
            <w:pPr>
              <w:pStyle w:val="TableCell"/>
            </w:pPr>
            <w:r>
              <w:rPr>
                <w:b/>
                <w:bCs/>
                <w:sz w:val="22"/>
              </w:rPr>
              <w:t>Evidence class</w:t>
            </w:r>
          </w:p>
        </w:tc>
        <w:tc>
          <w:tcPr>
            <w:tcW w:w="2700" w:type="dxa"/>
            <w:tcBorders>
              <w:bottom w:val="single" w:sz="8" w:space="0" w:color="auto"/>
            </w:tcBorders>
            <w:vAlign w:val="center"/>
          </w:tcPr>
          <w:p w:rsidR="009C29EC" w:rsidRDefault="008A0666">
            <w:pPr>
              <w:pStyle w:val="TableCell"/>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 fragmentation, interoperability, complexity, connectivity and cost —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t>4. Evaluate usability, cost-effectiveness and operational viability under Nigerian constraints</w:t>
            </w:r>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w:t>
      </w:r>
      <w:r w:rsidRPr="004F5D51">
        <w:rPr>
          <w:bCs/>
          <w:szCs w:val="24"/>
        </w:rPr>
        <w:lastRenderedPageBreak/>
        <w:t xml:space="preserv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w:t>
      </w:r>
      <w:r w:rsidRPr="004F5D51">
        <w:rPr>
          <w:bCs/>
          <w:szCs w:val="24"/>
        </w:rPr>
        <w:lastRenderedPageBreak/>
        <w:t>(Kay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 the static server and the container runtime —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lastRenderedPageBreak/>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4" w:name="_Toc238621422"/>
      <w:r>
        <w:rPr>
          <w:szCs w:val="24"/>
        </w:rPr>
        <w:t>4.15 Summary</w:t>
      </w:r>
      <w:bookmarkEnd w:id="134"/>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The deterministic decision-support layer and the post-harvest module are reported in full at Sections 4.2 to 4.6, and the evidence each produced is set against the objectives it answers in Table 4.12.</w:t>
      </w:r>
    </w:p>
    <w:p w:rsidR="009C29EC" w:rsidRDefault="008A0666">
      <w:pPr>
        <w:pStyle w:val="BodyPara"/>
      </w:pPr>
      <w:r>
        <w:rPr>
          <w:szCs w:val="24"/>
        </w:rPr>
        <w:t xml:space="preserve">Under simulated throttling the service worker reduces network transfer on a repeat visit from 139,245 bytes over eight requests to 127 bytes over seven, the residue being the manifest icon, a measured defect. First paint falls by a factor of about eighty, but time to </w:t>
      </w:r>
      <w:r>
        <w:rPr>
          <w:szCs w:val="24"/>
        </w:rPr>
        <w:lastRenderedPageBreak/>
        <w:t>main content improves by a factor of about three and a half, and that is the figure a user experiences.</w:t>
      </w:r>
    </w:p>
    <w:p w:rsidR="009C29EC" w:rsidRDefault="008A0666">
      <w:pPr>
        <w:pStyle w:val="BodyPara"/>
      </w:pPr>
      <w:r>
        <w:rPr>
          <w:szCs w:val="24"/>
        </w:rPr>
        <w:t>The security and tenancy boundary is exercised as well as asserted, and is reported with its residuals at Section 4.11 and in Tables B.1 and B.2; the standing caveats — synthetic training data for the forecast tier, a production path demonstrated but never deployed, no independent security assessment, and a usability strand specified and not executed — are stated at Sections 4.7, 4.12 and 4.14.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5" w:name="_Toc238621466"/>
      <w:r>
        <w:rPr>
          <w:szCs w:val="28"/>
        </w:rPr>
        <w:lastRenderedPageBreak/>
        <w:t>CHAPTER FIVE</w:t>
      </w:r>
      <w:bookmarkEnd w:id="135"/>
    </w:p>
    <w:p w:rsidR="009C29EC" w:rsidRDefault="00C07D64">
      <w:pPr>
        <w:pStyle w:val="ChapterTitle"/>
      </w:pPr>
      <w:bookmarkStart w:id="136" w:name="_Toc238621467"/>
      <w:r>
        <w:rPr>
          <w:szCs w:val="28"/>
        </w:rPr>
        <w:t>5.0 SUMMARY</w:t>
      </w:r>
      <w:r w:rsidR="008A0666">
        <w:rPr>
          <w:szCs w:val="28"/>
        </w:rPr>
        <w:t>, CONCLUSION AND RECOMMENDATIONS</w:t>
      </w:r>
      <w:bookmarkEnd w:id="136"/>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The operating-cost estimate anchored on the platform’s measured resource consumption is reported at Section 4.10 and in Appendix C.</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w:t>
      </w:r>
      <w:r>
        <w:lastRenderedPageBreak/>
        <w:t>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separates what would require building from what would require measuring, and the two have different consequences for what may be claimed.</w:t>
      </w:r>
    </w:p>
    <w:p w:rsidR="009C29EC" w:rsidRDefault="00F455C0">
      <w:pPr>
        <w:pStyle w:val="BodyPara"/>
      </w:pPr>
      <w:r>
        <w:t xml:space="preserve">Data </w:t>
      </w:r>
      <w:r w:rsidR="008A0666">
        <w:t xml:space="preserve">evaluation. Every figure in Chapter Four derives from a single seeded demonstration farm. There has been no field trial and no real farmer data. The seeded records were constructed to exercise the platform’s analytical paths, so they are not a </w:t>
      </w:r>
      <w:r w:rsidR="008A0666">
        <w:lastRenderedPageBreak/>
        <w:t>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xml:space="preserve">, 2006; Wager et al., 2014), and they are the route to a calibrated figure. No figure in Chapter Four derives from the unimplemented tier. The one interval reported there, 3.24 to 6.24 t/ha about a point estimate of 4.74 t/ha, is stated in those </w:t>
      </w:r>
      <w:r>
        <w:lastRenderedPageBreak/>
        <w:t>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t>
      </w:r>
      <w:r w:rsidR="008A0666">
        <w:lastRenderedPageBreak/>
        <w:t>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t xml:space="preserve">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w:t>
      </w:r>
      <w:r>
        <w:lastRenderedPageBreak/>
        <w:t>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the work does not establish is equally definite. There has been no field trial, no real farmer data and no user evaluation, so Objective (IV) is partially achieved; the forecast tier is trained on synthetic data and its reported accuracy is the recovery of a constructed relationship; the performance figures are modelled throttling against a local server rather than a field measurement; the data boundary is proven by tests and by probing a running stack rather than by an independent security assessment, and the ledger is audit-trailed rather than cryptographically tamper-evident; and the platform has never been deployed to serve a real user, on a real domain, on a departmental host.</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lastRenderedPageBreak/>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7" w:name="_Toc238621489"/>
      <w:r>
        <w:rPr>
          <w:szCs w:val="28"/>
        </w:rPr>
        <w:lastRenderedPageBreak/>
        <w:t>REFERENCES</w:t>
      </w:r>
      <w:bookmarkEnd w:id="137"/>
    </w:p>
    <w:p w:rsidR="0054721A" w:rsidRDefault="008A0666" w:rsidP="0054721A">
      <w:pPr>
        <w:pStyle w:val="ReferenceItem"/>
      </w:pPr>
      <w:proofErr w:type="spellStart"/>
      <w:r>
        <w:rPr>
          <w:szCs w:val="24"/>
        </w:rPr>
        <w:t>Abbasi</w:t>
      </w:r>
      <w:proofErr w:type="spellEnd"/>
      <w:r>
        <w:rPr>
          <w:szCs w:val="24"/>
        </w:rPr>
        <w:t>, R., Martinez, P., &amp; Ahmad, R. (2022). The digitiza</w:t>
      </w:r>
      <w:r w:rsidR="00B11A38">
        <w:rPr>
          <w:szCs w:val="24"/>
        </w:rPr>
        <w:t xml:space="preserve">tion of agricultural industry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w:t>
      </w:r>
      <w:r w:rsidR="00B11A38">
        <w:rPr>
          <w:szCs w:val="24"/>
        </w:rPr>
        <w:t>). Mississippi State University</w:t>
      </w:r>
      <w:r w:rsidR="00B11A38">
        <w:rPr>
          <w:szCs w:val="24"/>
        </w:rPr>
        <w:tab/>
        <w:t>Extension</w:t>
      </w:r>
      <w:r w:rsidR="00B11A38">
        <w:rPr>
          <w:szCs w:val="24"/>
        </w:rPr>
        <w:tab/>
      </w:r>
      <w:r>
        <w:rPr>
          <w:szCs w:val="24"/>
        </w:rPr>
        <w:t>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N. (2012). The model of farm management information system: A case study of a dive</w:t>
      </w:r>
      <w:r w:rsidR="00B11A38">
        <w:t xml:space="preserve">rsified German farm. DETUROPE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 xml:space="preserve">Johnson, J. (2020). Farm machinery cost calculations (Publication 3543). Mississippi State </w:t>
      </w:r>
      <w:r w:rsidR="00B11A38">
        <w:rPr>
          <w:szCs w:val="24"/>
        </w:rPr>
        <w:tab/>
      </w:r>
      <w:r>
        <w:rPr>
          <w:szCs w:val="24"/>
        </w:rPr>
        <w:t xml:space="preserve">University </w:t>
      </w:r>
      <w:r w:rsidR="00B11A38">
        <w:rPr>
          <w:szCs w:val="24"/>
        </w:rPr>
        <w:tab/>
      </w:r>
      <w:r>
        <w:rPr>
          <w:szCs w:val="24"/>
        </w:rPr>
        <w:t xml:space="preserve">Extension </w:t>
      </w:r>
      <w:r w:rsidR="00B11A38">
        <w:rPr>
          <w:szCs w:val="24"/>
        </w:rPr>
        <w:tab/>
      </w:r>
      <w:r>
        <w:rPr>
          <w:szCs w:val="24"/>
        </w:rPr>
        <w:t>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xml:space="preserve">, R. (1990). Heuristic evaluation of user interfaces. In Proceedings of the SIGCHI Conference on Human Factors in Computing Systems (pp. 249–256). </w:t>
      </w:r>
      <w:r w:rsidR="00B11A38">
        <w:tab/>
      </w:r>
      <w:r>
        <w:t xml:space="preserve">Association </w:t>
      </w:r>
      <w:r w:rsidR="00B11A38">
        <w:tab/>
      </w:r>
      <w:r>
        <w:t xml:space="preserve">for </w:t>
      </w:r>
      <w:r w:rsidR="00B11A38">
        <w:tab/>
      </w:r>
      <w:r>
        <w:t xml:space="preserve">Computing </w:t>
      </w:r>
      <w:r w:rsidR="00B11A38">
        <w:tab/>
      </w:r>
      <w:r>
        <w:t>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xml:space="preserve">, B. (2019). Obstacles and features of farm management information systems: A systematic literature review. Computers and </w:t>
      </w:r>
      <w:r w:rsidR="00B11A38">
        <w:tab/>
      </w:r>
      <w:r>
        <w:t xml:space="preserve">Electronics </w:t>
      </w:r>
      <w:r w:rsidR="00B11A38">
        <w:tab/>
      </w:r>
      <w:r>
        <w:t xml:space="preserve">in </w:t>
      </w:r>
      <w:r w:rsidR="00B11A38">
        <w:tab/>
      </w:r>
      <w:r>
        <w:t xml:space="preserve">Agriculture, </w:t>
      </w:r>
      <w:r w:rsidR="00B11A38">
        <w:tab/>
      </w:r>
      <w:r>
        <w:t xml:space="preserve">157, </w:t>
      </w:r>
      <w:r w:rsidR="00B11A38">
        <w:tab/>
      </w:r>
      <w:bookmarkStart w:id="138" w:name="_GoBack"/>
      <w:bookmarkEnd w:id="138"/>
      <w:r>
        <w:t>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CellSpacing w:w="1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29"/>
        <w:gridCol w:w="337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lastRenderedPageBreak/>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lastRenderedPageBreak/>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Component</w:t>
            </w:r>
          </w:p>
        </w:tc>
        <w:tc>
          <w:tcPr>
            <w:tcW w:w="2835" w:type="dxa"/>
            <w:tcBorders>
              <w:bottom w:val="single" w:sz="8" w:space="0" w:color="auto"/>
            </w:tcBorders>
            <w:vAlign w:val="center"/>
          </w:tcPr>
          <w:p w:rsidR="009C29EC" w:rsidRDefault="008A0666">
            <w:pPr>
              <w:pStyle w:val="TableCell"/>
            </w:pPr>
            <w:r>
              <w:rPr>
                <w:b/>
                <w:bCs/>
                <w:sz w:val="22"/>
              </w:rPr>
              <w:t>Measured memory</w:t>
            </w:r>
          </w:p>
        </w:tc>
        <w:tc>
          <w:tcPr>
            <w:tcW w:w="2835" w:type="dxa"/>
            <w:tcBorders>
              <w:bottom w:val="single" w:sz="8" w:space="0" w:color="auto"/>
            </w:tcBorders>
            <w:vAlign w:val="center"/>
          </w:tcPr>
          <w:p w:rsidR="009C29EC" w:rsidRDefault="008A0666">
            <w:pPr>
              <w:pStyle w:val="TableCell"/>
            </w:pPr>
            <w:r>
              <w:rPr>
                <w:b/>
                <w:bCs/>
                <w:sz w:val="22"/>
              </w:rPr>
              <w:t>Note</w:t>
            </w:r>
          </w:p>
        </w:tc>
      </w:tr>
      <w:tr w:rsidR="009C29EC">
        <w:trPr>
          <w:cantSplit/>
          <w:jc w:val="center"/>
        </w:trPr>
        <w:tc>
          <w:tcPr>
            <w:tcW w:w="2834" w:type="dxa"/>
            <w:vAlign w:val="center"/>
          </w:tcPr>
          <w:p w:rsidR="009C29EC" w:rsidRDefault="008A0666">
            <w:pPr>
              <w:pStyle w:val="TableCell"/>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 xml:space="preserve">33.4–41.3 </w:t>
            </w:r>
            <w:proofErr w:type="spellStart"/>
            <w:r>
              <w:rPr>
                <w:sz w:val="22"/>
              </w:rPr>
              <w:t>MiB</w:t>
            </w:r>
            <w:proofErr w:type="spellEnd"/>
          </w:p>
        </w:tc>
        <w:tc>
          <w:tcPr>
            <w:tcW w:w="2835" w:type="dxa"/>
            <w:vAlign w:val="center"/>
          </w:tcPr>
          <w:p w:rsidR="009C29EC" w:rsidRDefault="008A0666">
            <w:pPr>
              <w:pStyle w:val="TableCell"/>
            </w:pPr>
            <w:r>
              <w:rPr>
                <w:sz w:val="22"/>
              </w:rPr>
              <w:t>At rest, ≈0.0% CPU, against the seeded dataset</w:t>
            </w:r>
          </w:p>
        </w:tc>
      </w:tr>
      <w:tr w:rsidR="009C29EC">
        <w:trPr>
          <w:cantSplit/>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pPr>
            <w:r>
              <w:rPr>
                <w:sz w:val="22"/>
              </w:rPr>
              <w:t>The two containers exercised during sampling</w:t>
            </w:r>
          </w:p>
        </w:tc>
      </w:tr>
      <w:tr w:rsidR="009C29EC">
        <w:trPr>
          <w:cantSplit/>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Line item</w:t>
            </w:r>
          </w:p>
        </w:tc>
        <w:tc>
          <w:tcPr>
            <w:tcW w:w="2835" w:type="dxa"/>
            <w:tcBorders>
              <w:bottom w:val="single" w:sz="8" w:space="0" w:color="auto"/>
            </w:tcBorders>
            <w:vAlign w:val="center"/>
          </w:tcPr>
          <w:p w:rsidR="009C29EC" w:rsidRDefault="008A0666">
            <w:pPr>
              <w:pStyle w:val="TableCell"/>
            </w:pPr>
            <w:r>
              <w:rPr>
                <w:b/>
                <w:bCs/>
                <w:sz w:val="22"/>
              </w:rPr>
              <w:t>USD / month</w:t>
            </w:r>
          </w:p>
        </w:tc>
        <w:tc>
          <w:tcPr>
            <w:tcW w:w="2835" w:type="dxa"/>
            <w:tcBorders>
              <w:bottom w:val="single" w:sz="8" w:space="0" w:color="auto"/>
            </w:tcBorders>
            <w:vAlign w:val="center"/>
          </w:tcPr>
          <w:p w:rsidR="009C29EC" w:rsidRDefault="008A0666">
            <w:pPr>
              <w:pStyle w:val="TableCell"/>
            </w:pPr>
            <w:r>
              <w:rPr>
                <w:b/>
                <w:bCs/>
                <w:sz w:val="22"/>
              </w:rPr>
              <w:t>NGN / month</w:t>
            </w:r>
          </w:p>
        </w:tc>
      </w:tr>
      <w:tr w:rsidR="009C29EC">
        <w:trPr>
          <w:cantSplit/>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cantSplit/>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cantSplit/>
          <w:jc w:val="center"/>
        </w:trPr>
        <w:tc>
          <w:tcPr>
            <w:tcW w:w="2834" w:type="dxa"/>
            <w:vAlign w:val="center"/>
          </w:tcPr>
          <w:p w:rsidR="009C29EC" w:rsidRDefault="008A0666">
            <w:pPr>
              <w:pStyle w:val="TableCell"/>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cantSplit/>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cantSplit/>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Farms per instance</w:t>
            </w:r>
          </w:p>
        </w:tc>
        <w:tc>
          <w:tcPr>
            <w:tcW w:w="2835" w:type="dxa"/>
            <w:tcBorders>
              <w:bottom w:val="single" w:sz="8" w:space="0" w:color="auto"/>
            </w:tcBorders>
            <w:vAlign w:val="center"/>
          </w:tcPr>
          <w:p w:rsidR="009C29EC" w:rsidRDefault="008A0666">
            <w:pPr>
              <w:pStyle w:val="TableCell"/>
            </w:pPr>
            <w:r>
              <w:rPr>
                <w:b/>
                <w:bCs/>
                <w:sz w:val="22"/>
              </w:rPr>
              <w:t>NGN / farm / month</w:t>
            </w:r>
          </w:p>
        </w:tc>
        <w:tc>
          <w:tcPr>
            <w:tcW w:w="2835" w:type="dxa"/>
            <w:tcBorders>
              <w:bottom w:val="single" w:sz="8" w:space="0" w:color="auto"/>
            </w:tcBorders>
            <w:vAlign w:val="center"/>
          </w:tcPr>
          <w:p w:rsidR="009C29EC" w:rsidRDefault="008A0666">
            <w:pPr>
              <w:pStyle w:val="TableCell"/>
            </w:pPr>
            <w:r>
              <w:rPr>
                <w:b/>
                <w:bCs/>
                <w:sz w:val="22"/>
              </w:rPr>
              <w:t>Assumption</w:t>
            </w:r>
          </w:p>
        </w:tc>
      </w:tr>
      <w:tr w:rsidR="009C29EC">
        <w:trPr>
          <w:cantSplit/>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cantSplit/>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cantSplit/>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cantSplit/>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Property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cantSplit/>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cantSplit/>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cantSplit/>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cantSplit/>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cantSplit/>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cantSplit/>
          <w:jc w:val="center"/>
        </w:trPr>
        <w:tc>
          <w:tcPr>
            <w:tcW w:w="4252" w:type="dxa"/>
            <w:vAlign w:val="center"/>
          </w:tcPr>
          <w:p w:rsidR="009C29EC" w:rsidRDefault="008A0666">
            <w:pPr>
              <w:pStyle w:val="TableCell"/>
            </w:pPr>
            <w:r>
              <w:rPr>
                <w:sz w:val="22"/>
              </w:rPr>
              <w:t xml:space="preserve">Feature </w:t>
            </w:r>
            <w:r w:rsidR="00C332AE">
              <w:rPr>
                <w:sz w:val="22"/>
              </w:rPr>
              <w:t>importance’s</w:t>
            </w:r>
          </w:p>
        </w:tc>
        <w:tc>
          <w:tcPr>
            <w:tcW w:w="4252" w:type="dxa"/>
            <w:vAlign w:val="center"/>
          </w:tcPr>
          <w:p w:rsidR="009C29EC" w:rsidRDefault="008A0666">
            <w:pPr>
              <w:pStyle w:val="TableCell"/>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pPr>
            <w:r>
              <w:rPr>
                <w:b/>
                <w:bCs/>
                <w:sz w:val="22"/>
              </w:rPr>
              <w:t>Quantity</w:t>
            </w:r>
          </w:p>
        </w:tc>
        <w:tc>
          <w:tcPr>
            <w:tcW w:w="4859"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cantSplit/>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cantSplit/>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cantSplit/>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cantSplit/>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cantSplit/>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cantSplit/>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cantSplit/>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cantSplit/>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cantSplit/>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cantSplit/>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cantSplit/>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cantSplit/>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cantSplit/>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3690"/>
        <w:gridCol w:w="985"/>
        <w:gridCol w:w="2912"/>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7B30" w:rsidRDefault="00477B30">
      <w:pPr>
        <w:spacing w:after="0" w:line="240" w:lineRule="auto"/>
      </w:pPr>
      <w:r>
        <w:separator/>
      </w:r>
    </w:p>
  </w:endnote>
  <w:endnote w:type="continuationSeparator" w:id="0">
    <w:p w:rsidR="00477B30" w:rsidRDefault="0047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B11A38">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B11A38">
      <w:rPr>
        <w:noProof/>
        <w:szCs w:val="24"/>
      </w:rPr>
      <w:t>107</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7B30" w:rsidRDefault="00477B30">
      <w:pPr>
        <w:spacing w:after="0" w:line="240" w:lineRule="auto"/>
      </w:pPr>
      <w:r>
        <w:separator/>
      </w:r>
    </w:p>
  </w:footnote>
  <w:footnote w:type="continuationSeparator" w:id="0">
    <w:p w:rsidR="00477B30" w:rsidRDefault="00477B3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745B4"/>
    <w:rsid w:val="0029639D"/>
    <w:rsid w:val="002C4373"/>
    <w:rsid w:val="003076DF"/>
    <w:rsid w:val="00326F90"/>
    <w:rsid w:val="00376534"/>
    <w:rsid w:val="003A60A6"/>
    <w:rsid w:val="003F1A8A"/>
    <w:rsid w:val="003F7E0F"/>
    <w:rsid w:val="00415103"/>
    <w:rsid w:val="00416C8F"/>
    <w:rsid w:val="00477B30"/>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94253"/>
    <w:rsid w:val="009C29EC"/>
    <w:rsid w:val="009E5C98"/>
    <w:rsid w:val="00A757D4"/>
    <w:rsid w:val="00A9561D"/>
    <w:rsid w:val="00A97509"/>
    <w:rsid w:val="00AA1D8D"/>
    <w:rsid w:val="00AF0124"/>
    <w:rsid w:val="00AF0878"/>
    <w:rsid w:val="00B11A38"/>
    <w:rsid w:val="00B222E3"/>
    <w:rsid w:val="00B47730"/>
    <w:rsid w:val="00B51104"/>
    <w:rsid w:val="00B76A4D"/>
    <w:rsid w:val="00BA1859"/>
    <w:rsid w:val="00BE0ADA"/>
    <w:rsid w:val="00C07D64"/>
    <w:rsid w:val="00C332AE"/>
    <w:rsid w:val="00C97671"/>
    <w:rsid w:val="00CB0664"/>
    <w:rsid w:val="00CC69F0"/>
    <w:rsid w:val="00D5112B"/>
    <w:rsid w:val="00D760F9"/>
    <w:rsid w:val="00D83B5F"/>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BA0091-949A-4DC6-B7FD-90463B9F3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134</Pages>
  <Words>30756</Words>
  <Characters>175314</Characters>
  <Application>Microsoft Office Word</Application>
  <DocSecurity>0</DocSecurity>
  <Lines>1460</Lines>
  <Paragraphs>411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205659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63</cp:revision>
  <dcterms:created xsi:type="dcterms:W3CDTF">2013-12-23T23:15:00Z</dcterms:created>
  <dcterms:modified xsi:type="dcterms:W3CDTF">2026-09-10T14:01:00Z</dcterms:modified>
  <cp:category/>
</cp:coreProperties>
</file>