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both recorded implementation states returned 426 collected backend cases — 422 passed, 4 skipped, none failed — at 96% statement coverage over 1,601 statements, with 148 frontend tests at 42.14% statement coverage, and the drying model recovered its designed parameters to within one part in ten thousand.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t>at a two-hundred-farm tenancy. The usability evaluation was not conducted and no System Usability Scale score is reported, so that objective is only partially achieved,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pPr>
        <w:pStyle w:val="TOC1"/>
        <w:tabs>
          <w:tab w:val="right" w:leader="dot" w:pos="8503"/>
        </w:tabs>
      </w:pPr>
      <w:r>
        <w:t xml:space="preserve">APPENDIX G: THE TWO IMPLEMENTATION STATES</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pPr>
        <w:pStyle w:val="TOC1"/>
        <w:tabs>
          <w:tab w:val="right" w:leader="dot" w:pos="8503"/>
        </w:tabs>
      </w:pPr>
      <w:r>
        <w:t>Table G.1: The two implementation states and what was captured at each</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farm-scoped writes and on any change of authenticated identity, because a caching layer that survives a correction would make the application misreport its own state. One path is not covered: correcting an existing equipment record does not purge, so the reads derived from the depreciation overlay may be served stale until the cache entry expires or another write purges it.</w:t>
      </w:r>
      <w:r w:rsidR="00604EE9">
        <w:rPr>
          <w:szCs w:val="24"/>
        </w:rPr>
        <w:t xml:space="preserv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partially achieved.</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nine quantities from the ledger the platform actually holds, with no model, no estimation and no external data. This section reports its output against the seeded demonstration farm.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1,301.98</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on 7 September 2026.</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on 7 September 2026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t>computed, verified, served and invisible; that finding is withdrawn, and all six enterprise-economics endpoints are reachable in the interface. Two findings carried by earlier drafts of Table A.1 of Appendix A have been withdrawn: the Olympic-average yield baseline and the entry form’s crop list were both reported as implemented-but-unreachable, and both are reachable.</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On 29 August 2026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suite as run on 7 September 2026 collected 426 backend cases: 422 passed, 4 skipped and none failed, at 96% statement coverage over 1,601 statements. The four skipped are the migration cases that require a real PostgreSQL server rather than SQLite; they were executed separately and in full against PostgreSQL 15.18, as Table B.2 of Appendix B records. The frontend suite contributes 148 tests at 42.14% statement coverage, the lower figure reflecting the page and form components noted below. These are the counts summarised against Objective 4 in Table 4.12.</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 with largest contentful paint at 5,661.2 ms cold and 1,612.0 ms warm.</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on 29 August 2026,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achieved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t>96% statement coverage over 1,601 statements,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 xml:space="preserve">Application defects. A second reversal of the same record is rejected (Section 3.5). A mistaken reversal can therefore only be compensated by a new unlinked entry, which breaks the reversal linkage preserved by every other correction. The read cache serves a stored response and revalidates in the background, initiating a fetch unsequenced against the purge, so a fetch begun before a purge can repopulate the cache with a pre-mutation body. Correcting an equipment record posts no cache purge, leaving the overlay-derived reads cached with no error shown, as recorded in Section 3.6.1; the verification in Appendix B covers the API and is silent on the client. The entry form merges the farm's recorded crops with the model's, so an unforecastable crop is selectable and carries no signal that the forecast tier cannot serve it. All three list endpoints default to 100 rows and the client sends no limit, so both the record list and the displayed count cap silently. Two of these, the equipment purge and the client-side bounds, share a shape. In both, the guard exists with its reasoning recorded beside it, and the adjacent path does not call it.</w:t>
      </w:r>
    </w:p>
    <w:p w:rsidR="009C29EC" w:rsidRPr="004F5D51" w:rsidRDefault="008A0666">
      <w:pPr>
        <w:pStyle w:val="BodyPara"/>
      </w:pPr>
      <w:r w:rsidRPr="004F5D51">
        <w:rPr>
          <w:bCs/>
          <w:szCs w:val="24"/>
        </w:rPr>
        <w:t xml:space="preserve">Basis of the revenue figures. The unit cost calculation divides by marketable mass while the revenue calculation divides by harvest mass. These two divisions sit within the same loop body, a structural choice holding true for any farm rather than an artefact of the seed. Both masses sit in the same row of Table 4.2 as 100 kg and 84 kg. This divergence inherits into gross margin, the ranking, the realised price, break-even yield, the operating-expense ratio, farm revenue, and the farm operating-expense ratio. The asymmetry reaches only figures carrying a revenue term; no cost-side figure is affected. The whole ₦35.00 to ₦41.67 chain, both break-even prices, the sensitivity matrix, and the unit costs on both bases remain entirely unchanged. The calculation basis forces a 7.78 identity: break-even yield in kilograms and the operating-expense ratio in per cent print the exact same digits solely because revenue equals the derived price of ₦450 times the 100 kg harvest mass. These figures stand unreconciled rather than wrong. The records are consistent with a wet-mass sale, in which case nothing is overstated and only the reconciliation is absent.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client-side mirror of the monetary bounds is asserted only as a pure function; the wiring between the form and the validator is tested nowhere, as the 422 results in Appendix B are server-side responses.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t>footprint — the static server and the container runtime — were not sampled at all, so the total is part-measured and part-assumed. The maize and cowpea sale figures are chosen totals rather than rate-times-quantity, so the realised prices derived from them act as reconstructions rather than observed prices.</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from a live ledger nine quantities —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partially achieved.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r w:rsidR="00C07D64"/>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t>Structural integrity of the record. On 29 August 2026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On 29 August 2026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on 29 August 2026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A second stale-read exposure is now recorded in Sections 3.6.1 and 4.14, and it is of a different kind from the revalidation window: correcting an existing equipment record posts no cache purge, which is not a reasoned hypothesis but an absent call verifiable by reading the source, so the reads derived from the depreciation overlay may be served stale until the entry expires or another write purges it.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What this work establishes is definite. The paired-write ledger functions exactly as designed: on 29 August 2026, the live database maintained 109 operational logs against 109 financial transactions with zero unpaired records, proving the write-time invariant from Section 3.5 in real data rather than merely asserting it. The deterministic decision-support tier computes nine quantities directly from a farm's own records, and strictly withholds any output lacking sufficient input data rather than substituting a plausible default. The post-harvest module bridges agricultural processing with farm economics, linking a moisture measurement to a price per marketable kilogram in a single chain computed by the platform without manual intervention at any step, moving maize from ₦35.00 to ₦41.67 per kilogram. This 19% difference is post-harvest mass reduction expressed in money, and the chain that produces it is the engineering contribution of this work. The offline-first architecture performs under constraint: under a simulated 0.4 Mbps network, a repeat application visit dropped from 139,245 bytes over eight requests to just 127 bytes over seven. System security—including authorisation across three roles and eleven permissions, expiring hashed share tokens, login throttling, and credential scrubbing—was verified on the running stack.</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of rural Nigerians who lack smartphone ownership (Section 2.4.2)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and nine quantities in all —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pPr>
        <w:pStyle w:val="ChapterLabel"/>
      </w:pPr>
      <w:r>
        <w:t xml:space="preserve">APPENDIX G</w:t>
      </w:r>
    </w:p>
    <w:p>
      <w:pPr>
        <w:pStyle w:val="ChapterTitle"/>
      </w:pPr>
      <w:r>
        <w:t xml:space="preserve">THE TWO IMPLEMENTATION STATES</w:t>
      </w:r>
    </w:p>
    <w:p>
      <w:pPr>
        <w:pStyle w:val="TableCaption"/>
      </w:pPr>
      <w:r>
        <w:t xml:space="preserve">Table G.1: The two implementation states and what was captured at each</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0"/>
        <w:gridCol w:w="2180"/>
        <w:gridCol w:w="2180"/>
        <w:gridCol w:w="2181"/>
      </w:tblGrid>
      <w:tr>
        <w:tc>
          <w:tcPr>
            <w:tcW w:w="2180" w:type="dxa"/>
            <w:tcBorders>
              <w:bottom w:val="single" w:sz="4" w:space="0" w:color="auto"/>
            </w:tcBorders>
          </w:tcPr>
          <w:p>
            <w:pPr>
              <w:pStyle w:val="BodyPara"/>
              <w:spacing w:after="120" w:line="240" w:lineRule="auto"/>
              <w:rPr>
                <w:b/>
              </w:rPr>
            </w:pPr>
            <w:r>
              <w:rPr>
                <w:b/>
              </w:rPr>
              <w:t xml:space="preserve">Evidence class</w:t>
            </w:r>
          </w:p>
        </w:tc>
        <w:tc>
          <w:tcPr>
            <w:tcW w:w="2180" w:type="dxa"/>
            <w:tcBorders>
              <w:bottom w:val="single" w:sz="4" w:space="0" w:color="auto"/>
            </w:tcBorders>
          </w:tcPr>
          <w:p>
            <w:pPr>
              <w:pStyle w:val="BodyPara"/>
              <w:spacing w:after="120" w:line="240" w:lineRule="auto"/>
              <w:rPr>
                <w:b/>
              </w:rPr>
            </w:pPr>
            <w:r>
              <w:rPr>
                <w:b/>
              </w:rPr>
              <w:t xml:space="preserve">Commit</w:t>
            </w:r>
          </w:p>
        </w:tc>
        <w:tc>
          <w:tcPr>
            <w:tcW w:w="2180" w:type="dxa"/>
            <w:tcBorders>
              <w:bottom w:val="single" w:sz="4" w:space="0" w:color="auto"/>
            </w:tcBorders>
          </w:tcPr>
          <w:p>
            <w:pPr>
              <w:pStyle w:val="BodyPara"/>
              <w:spacing w:after="120" w:line="240" w:lineRule="auto"/>
              <w:rPr>
                <w:b/>
              </w:rPr>
            </w:pPr>
            <w:r>
              <w:rPr>
                <w:b/>
              </w:rPr>
              <w:t xml:space="preserve">Date</w:t>
            </w:r>
          </w:p>
        </w:tc>
        <w:tc>
          <w:tcPr>
            <w:tcW w:w="2181" w:type="dxa"/>
            <w:tcBorders>
              <w:bottom w:val="single" w:sz="4" w:space="0" w:color="auto"/>
            </w:tcBorders>
          </w:tcPr>
          <w:p>
            <w:pPr>
              <w:pStyle w:val="BodyPara"/>
              <w:spacing w:after="120" w:line="240" w:lineRule="auto"/>
              <w:rPr>
                <w:b/>
              </w:rPr>
            </w:pPr>
            <w:r>
              <w:rPr>
                <w:b/>
              </w:rPr>
              <w:t xml:space="preserve">Artefact</w:t>
            </w:r>
          </w:p>
        </w:tc>
      </w:tr>
      <w:tr>
        <w:tc>
          <w:tcPr>
            <w:tcW w:w="2180" w:type="dxa"/>
            <w:tcBorders>
              <w:top w:val="single" w:sz="4" w:space="0" w:color="auto"/>
              <w:bottom w:val="nil"/>
            </w:tcBorders>
          </w:tcPr>
          <w:p>
            <w:pPr>
              <w:pStyle w:val="BodyPara"/>
              <w:spacing w:after="120" w:line="240" w:lineRule="auto"/>
            </w:pPr>
            <w:r>
              <w:t xml:space="preserve">Numerical figures</w:t>
            </w:r>
          </w:p>
        </w:tc>
        <w:tc>
          <w:tcPr>
            <w:tcW w:w="2180" w:type="dxa"/>
            <w:tcBorders>
              <w:top w:val="single" w:sz="4" w:space="0" w:color="auto"/>
              <w:bottom w:val="nil"/>
            </w:tcBorders>
          </w:tcPr>
          <w:p>
            <w:pPr>
              <w:pStyle w:val="BodyPara"/>
              <w:spacing w:after="120" w:line="240" w:lineRule="auto"/>
            </w:pPr>
            <w:r>
              <w:t xml:space="preserve">Captured at 78a68c292205acdcac1a52f977fbea31b6e8495e; re-verified at 598eab0a02533e9692332d92382d42f16fc9e346</w:t>
            </w:r>
          </w:p>
        </w:tc>
        <w:tc>
          <w:tcPr>
            <w:tcW w:w="2180" w:type="dxa"/>
            <w:tcBorders>
              <w:top w:val="single" w:sz="4" w:space="0" w:color="auto"/>
              <w:bottom w:val="nil"/>
            </w:tcBorders>
          </w:tcPr>
          <w:p>
            <w:pPr>
              <w:pStyle w:val="BodyPara"/>
              <w:spacing w:after="120" w:line="240" w:lineRule="auto"/>
            </w:pPr>
            <w:r>
              <w:t xml:space="preserve">29 August 2026; re-verified 7 September 2026</w:t>
            </w:r>
          </w:p>
        </w:tc>
        <w:tc>
          <w:tcPr>
            <w:tcW w:w="2181" w:type="dxa"/>
            <w:tcBorders>
              <w:top w:val="single" w:sz="4" w:space="0" w:color="auto"/>
              <w:bottom w:val="nil"/>
            </w:tcBorders>
          </w:tcPr>
          <w:p>
            <w:pPr>
              <w:pStyle w:val="BodyPara"/>
              <w:spacing w:after="120" w:line="240" w:lineRule="auto"/>
            </w:pPr>
            <w:r>
              <w:t xml:space="preserve">docs/EVIDENCE_FREEZE_2026-08-29.md §2; docs/EVIDENCE_CAPTURE_2026-09-07.md §3</w:t>
            </w:r>
          </w:p>
        </w:tc>
      </w:tr>
      <w:tr>
        <w:tc>
          <w:tcPr>
            <w:tcW w:w="2180" w:type="dxa"/>
            <w:tcBorders>
              <w:top w:val="nil"/>
              <w:bottom w:val="nil"/>
            </w:tcBorders>
          </w:tcPr>
          <w:p>
            <w:pPr>
              <w:pStyle w:val="BodyPara"/>
              <w:spacing w:after="120" w:line="240" w:lineRule="auto"/>
            </w:pPr>
            <w:r>
              <w:t xml:space="preserve">Database census</w:t>
            </w:r>
          </w:p>
        </w:tc>
        <w:tc>
          <w:tcPr>
            <w:tcW w:w="2180" w:type="dxa"/>
            <w:tcBorders>
              <w:top w:val="nil"/>
              <w:bottom w:val="nil"/>
            </w:tcBorders>
          </w:tcPr>
          <w:p>
            <w:pPr>
              <w:pStyle w:val="BodyPara"/>
              <w:spacing w:after="120" w:line="240" w:lineRule="auto"/>
            </w:pPr>
            <w:r>
              <w:t xml:space="preserve">78a68c292205acdcac1a52f977fbea31b6e8495e</w:t>
            </w:r>
          </w:p>
        </w:tc>
        <w:tc>
          <w:tcPr>
            <w:tcW w:w="2180" w:type="dxa"/>
            <w:tcBorders>
              <w:top w:val="nil"/>
              <w:bottom w:val="nil"/>
            </w:tcBorders>
          </w:tcPr>
          <w:p>
            <w:pPr>
              <w:pStyle w:val="BodyPara"/>
              <w:spacing w:after="120" w:line="240" w:lineRule="auto"/>
            </w:pPr>
            <w:r>
              <w:t xml:space="preserve">29 August 2026</w:t>
            </w:r>
          </w:p>
        </w:tc>
        <w:tc>
          <w:tcPr>
            <w:tcW w:w="2181" w:type="dxa"/>
            <w:tcBorders>
              <w:top w:val="nil"/>
              <w:bottom w:val="nil"/>
            </w:tcBorders>
          </w:tcPr>
          <w:p>
            <w:pPr>
              <w:pStyle w:val="BodyPara"/>
              <w:spacing w:after="120" w:line="240" w:lineRule="auto"/>
            </w:pPr>
            <w:r>
              <w:t xml:space="preserve">docs/EVIDENCE_FREEZE_2026-08-29.md §4</w:t>
            </w:r>
          </w:p>
        </w:tc>
      </w:tr>
      <w:tr>
        <w:tc>
          <w:tcPr>
            <w:tcW w:w="2180" w:type="dxa"/>
            <w:tcBorders>
              <w:top w:val="nil"/>
              <w:bottom w:val="nil"/>
            </w:tcBorders>
          </w:tcPr>
          <w:p>
            <w:pPr>
              <w:pStyle w:val="BodyPara"/>
              <w:spacing w:after="120" w:line="240" w:lineRule="auto"/>
            </w:pPr>
            <w:r>
              <w:t xml:space="preserve">Live probes</w:t>
            </w:r>
          </w:p>
        </w:tc>
        <w:tc>
          <w:tcPr>
            <w:tcW w:w="2180" w:type="dxa"/>
            <w:tcBorders>
              <w:top w:val="nil"/>
              <w:bottom w:val="nil"/>
            </w:tcBorders>
          </w:tcPr>
          <w:p>
            <w:pPr>
              <w:pStyle w:val="BodyPara"/>
              <w:spacing w:after="120" w:line="240" w:lineRule="auto"/>
            </w:pPr>
            <w:r>
              <w:t xml:space="preserve">78a68c292205acdcac1a52f977fbea31b6e8495e</w:t>
            </w:r>
          </w:p>
        </w:tc>
        <w:tc>
          <w:tcPr>
            <w:tcW w:w="2180" w:type="dxa"/>
            <w:tcBorders>
              <w:top w:val="nil"/>
              <w:bottom w:val="nil"/>
            </w:tcBorders>
          </w:tcPr>
          <w:p>
            <w:pPr>
              <w:pStyle w:val="BodyPara"/>
              <w:spacing w:after="120" w:line="240" w:lineRule="auto"/>
            </w:pPr>
            <w:r>
              <w:t xml:space="preserve">29 August 2026</w:t>
            </w:r>
          </w:p>
        </w:tc>
        <w:tc>
          <w:tcPr>
            <w:tcW w:w="2181" w:type="dxa"/>
            <w:tcBorders>
              <w:top w:val="nil"/>
              <w:bottom w:val="nil"/>
            </w:tcBorders>
          </w:tcPr>
          <w:p>
            <w:pPr>
              <w:pStyle w:val="BodyPara"/>
              <w:spacing w:after="120" w:line="240" w:lineRule="auto"/>
            </w:pPr>
            <w:r>
              <w:t xml:space="preserve">docs/EVIDENCE_FREEZE_2026-08-29.md §3.7–§3.13</w:t>
            </w:r>
          </w:p>
        </w:tc>
      </w:tr>
      <w:tr>
        <w:tc>
          <w:tcPr>
            <w:tcW w:w="2180" w:type="dxa"/>
            <w:tcBorders>
              <w:top w:val="nil"/>
              <w:bottom w:val="nil"/>
            </w:tcBorders>
          </w:tcPr>
          <w:p>
            <w:pPr>
              <w:pStyle w:val="BodyPara"/>
              <w:spacing w:after="120" w:line="240" w:lineRule="auto"/>
            </w:pPr>
            <w:r>
              <w:t xml:space="preserve">Interface screenshots and test counts</w:t>
            </w:r>
          </w:p>
        </w:tc>
        <w:tc>
          <w:tcPr>
            <w:tcW w:w="2180" w:type="dxa"/>
            <w:tcBorders>
              <w:top w:val="nil"/>
              <w:bottom w:val="nil"/>
            </w:tcBorders>
          </w:tcPr>
          <w:p>
            <w:pPr>
              <w:pStyle w:val="BodyPara"/>
              <w:spacing w:after="120" w:line="240" w:lineRule="auto"/>
            </w:pPr>
            <w:r>
              <w:t xml:space="preserve">598eab0a02533e9692332d92382d42f16fc9e346</w:t>
            </w:r>
          </w:p>
        </w:tc>
        <w:tc>
          <w:tcPr>
            <w:tcW w:w="2180" w:type="dxa"/>
            <w:tcBorders>
              <w:top w:val="nil"/>
              <w:bottom w:val="nil"/>
            </w:tcBorders>
          </w:tcPr>
          <w:p>
            <w:pPr>
              <w:pStyle w:val="BodyPara"/>
              <w:spacing w:after="120" w:line="240" w:lineRule="auto"/>
            </w:pPr>
            <w:r>
              <w:t xml:space="preserve">7 September 2026</w:t>
            </w:r>
          </w:p>
        </w:tc>
        <w:tc>
          <w:tcPr>
            <w:tcW w:w="2181" w:type="dxa"/>
            <w:tcBorders>
              <w:top w:val="nil"/>
              <w:bottom w:val="nil"/>
            </w:tcBorders>
          </w:tcPr>
          <w:p>
            <w:pPr>
              <w:pStyle w:val="BodyPara"/>
              <w:spacing w:after="120" w:line="240" w:lineRule="auto"/>
            </w:pPr>
            <w:r>
              <w:t xml:space="preserve">docs/EVIDENCE_FREEZE_2026-09-07.md §2, §3; Screenshots/fig_4_1.png–fig_4_11.png, fig_x_filter.png, fig_x_pnl.png</w:t>
            </w:r>
          </w:p>
        </w:tc>
      </w:tr>
      <w:tr>
        <w:tc>
          <w:tcPr>
            <w:tcW w:w="2180" w:type="dxa"/>
            <w:tcBorders>
              <w:top w:val="nil"/>
              <w:bottom w:val="single" w:sz="4" w:space="0" w:color="auto"/>
            </w:tcBorders>
          </w:tcPr>
          <w:p>
            <w:pPr>
              <w:pStyle w:val="BodyPara"/>
              <w:spacing w:after="120" w:line="240" w:lineRule="auto"/>
            </w:pPr>
            <w:r>
              <w:t xml:space="preserve">Performance figures</w:t>
            </w:r>
          </w:p>
        </w:tc>
        <w:tc>
          <w:tcPr>
            <w:tcW w:w="2180" w:type="dxa"/>
            <w:tcBorders>
              <w:top w:val="nil"/>
              <w:bottom w:val="single" w:sz="4" w:space="0" w:color="auto"/>
            </w:tcBorders>
          </w:tcPr>
          <w:p>
            <w:pPr>
              <w:pStyle w:val="BodyPara"/>
              <w:spacing w:after="120" w:line="240" w:lineRule="auto"/>
            </w:pPr>
            <w:r>
              <w:t xml:space="preserve">78a68c292205acdcac1a52f977fbea31b6e8495e — not re-measured</w:t>
            </w:r>
          </w:p>
        </w:tc>
        <w:tc>
          <w:tcPr>
            <w:tcW w:w="2180" w:type="dxa"/>
            <w:tcBorders>
              <w:top w:val="nil"/>
              <w:bottom w:val="single" w:sz="4" w:space="0" w:color="auto"/>
            </w:tcBorders>
          </w:tcPr>
          <w:p>
            <w:pPr>
              <w:pStyle w:val="BodyPara"/>
              <w:spacing w:after="120" w:line="240" w:lineRule="auto"/>
            </w:pPr>
            <w:r>
              <w:t xml:space="preserve">29 August 2026</w:t>
            </w:r>
          </w:p>
        </w:tc>
        <w:tc>
          <w:tcPr>
            <w:tcW w:w="2181" w:type="dxa"/>
            <w:tcBorders>
              <w:top w:val="nil"/>
              <w:bottom w:val="single" w:sz="4" w:space="0" w:color="auto"/>
            </w:tcBorders>
          </w:tcPr>
          <w:p>
            <w:pPr>
              <w:pStyle w:val="BodyPara"/>
              <w:spacing w:after="120" w:line="240" w:lineRule="auto"/>
            </w:pPr>
            <w:r>
              <w:t xml:space="preserve">docs/perf/2026-08-29/README.md, with lh-4g-run1–5 and lh-slow3g-run1–5 .report.json/.html and flow-iter1–3.json</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