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 xml:space="preserve">I dedicate this project to my dear friend, </w:t>
      </w:r>
      <w:proofErr w:type="spellStart"/>
      <w:r>
        <w:t>Olu-Arimoro</w:t>
      </w:r>
      <w:proofErr w:type="spellEnd"/>
      <w:r>
        <w:t xml:space="preserve"> </w:t>
      </w:r>
      <w:proofErr w:type="spellStart"/>
      <w:r>
        <w:t>Fadunsayemi</w:t>
      </w:r>
      <w:proofErr w:type="spellEnd"/>
      <w:r>
        <w:t xml:space="preserve">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w:t>
      </w:r>
      <w:proofErr w:type="spellStart"/>
      <w:r w:rsidR="005E41F6">
        <w:t>Dr.</w:t>
      </w:r>
      <w:proofErr w:type="spellEnd"/>
      <w:r w:rsidR="005E41F6">
        <w:t xml:space="preserve"> </w:t>
      </w:r>
      <w:proofErr w:type="spellStart"/>
      <w:r w:rsidR="005E41F6">
        <w:t>Imologie</w:t>
      </w:r>
      <w:proofErr w:type="spellEnd"/>
      <w:r w:rsidR="005E41F6">
        <w:t xml:space="preserv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w:t>
      </w:r>
      <w:proofErr w:type="spellStart"/>
      <w:r w:rsidR="00831D04" w:rsidRPr="00FC711D">
        <w:t>Prof.</w:t>
      </w:r>
      <w:proofErr w:type="spellEnd"/>
      <w:r w:rsidR="00831D04" w:rsidRPr="00FC711D">
        <w:t xml:space="preserve"> </w:t>
      </w:r>
      <w:r w:rsidR="00831D04">
        <w:t xml:space="preserve">P. A. </w:t>
      </w:r>
      <w:proofErr w:type="spellStart"/>
      <w:r w:rsidR="00831D04">
        <w:t>Adeoye</w:t>
      </w:r>
      <w:proofErr w:type="spellEnd"/>
      <w:r w:rsidR="00831D04">
        <w:t xml:space="preserve"> </w:t>
      </w:r>
      <w:r>
        <w:t xml:space="preserve">and to all the academic and non-academic staff of the Department of Agricultural and </w:t>
      </w:r>
      <w:r w:rsidR="00BA1859">
        <w:t>Bio resources</w:t>
      </w:r>
      <w:r>
        <w:t xml:space="preserve"> </w:t>
      </w:r>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 xml:space="preserve">I would also like to thank my friends and family for their unwavering moral and financial support, which has been instrumental in the successful completion of my undergraduate studies. Finally, above all, I thank God for the grace and strength to see this </w:t>
      </w:r>
      <w:proofErr w:type="spellStart"/>
      <w:r>
        <w:t>endeavor</w:t>
      </w:r>
      <w:proofErr w:type="spellEnd"/>
      <w:r>
        <w:t xml:space="preserve">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and largest </w:t>
      </w:r>
      <w:proofErr w:type="spellStart"/>
      <w:r>
        <w:rPr>
          <w:szCs w:val="24"/>
        </w:rPr>
        <w:t>contentful</w:t>
      </w:r>
      <w:proofErr w:type="spellEnd"/>
      <w:r>
        <w:rPr>
          <w:szCs w:val="24"/>
        </w:rPr>
        <w:t xml:space="preserve"> paint to 1,612.0 </w:t>
      </w:r>
      <w:proofErr w:type="spellStart"/>
      <w:r>
        <w:rPr>
          <w:szCs w:val="24"/>
        </w:rPr>
        <w:t>ms.</w:t>
      </w:r>
      <w:proofErr w:type="spellEnd"/>
      <w:r>
        <w:rPr>
          <w:szCs w:val="24"/>
        </w:rPr>
        <w:t xml:space="preserve"> Role-based </w:t>
      </w:r>
      <w:proofErr w:type="spellStart"/>
      <w:r>
        <w:rPr>
          <w:szCs w:val="24"/>
        </w:rPr>
        <w:t>authorisation</w:t>
      </w:r>
      <w:proofErr w:type="spellEnd"/>
      <w:r>
        <w:rPr>
          <w:szCs w:val="24"/>
        </w:rPr>
        <w:t xml:space="preserve">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w:t>
      </w:r>
      <w:proofErr w:type="spellStart"/>
      <w:r>
        <w:rPr>
          <w:szCs w:val="24"/>
        </w:rPr>
        <w:t>MiB</w:t>
      </w:r>
      <w:proofErr w:type="spellEnd"/>
      <w:r>
        <w:rPr>
          <w:szCs w:val="24"/>
        </w:rPr>
        <w:t xml:space="preserve"> gives an estimated </w:t>
      </w:r>
      <w:r>
        <w:rPr>
          <w:szCs w:val="24"/>
        </w:rPr>
        <w:lastRenderedPageBreak/>
        <w:t>₦20,950 per month, or ₦105 per farm 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 xml:space="preserve">3.6.4 </w:t>
      </w:r>
      <w:proofErr w:type="spellStart"/>
      <w:r>
        <w:t>Mechanisation</w:t>
      </w:r>
      <w:proofErr w:type="spellEnd"/>
      <w:r>
        <w:t xml:space="preserve">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 xml:space="preserve">3.6.7 </w:t>
      </w:r>
      <w:proofErr w:type="spellStart"/>
      <w:r>
        <w:t>Tokenised</w:t>
      </w:r>
      <w:proofErr w:type="spellEnd"/>
      <w:r>
        <w:t xml:space="preserve">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E23237" w:rsidRDefault="0048675F">
      <w:pPr>
        <w:pStyle w:val="TOC1"/>
        <w:tabs>
          <w:tab w:val="right" w:leader="dot" w:pos="8503"/>
        </w:tabs>
      </w:pPr>
      <w:r>
        <w:t>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 xml:space="preserve">Table B.1: Security and </w:t>
      </w:r>
      <w:proofErr w:type="spellStart"/>
      <w:r>
        <w:t>authorisation</w:t>
      </w:r>
      <w:proofErr w:type="spellEnd"/>
      <w:r>
        <w:t xml:space="preserve">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E23237" w:rsidRDefault="0048675F">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 xml:space="preserve">Figure 4.6: Farm level cost structure: 88.3% of ₦598,450 recorded cost classified by cost </w:t>
      </w:r>
      <w:proofErr w:type="spellStart"/>
      <w:r>
        <w:t>behaviour</w:t>
      </w:r>
      <w:proofErr w:type="spellEnd"/>
      <w:r>
        <w:t>,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 xml:space="preserve">Figure 4.8: Profit and loss by activity category, with </w:t>
      </w:r>
      <w:proofErr w:type="spellStart"/>
      <w:r>
        <w:t>mechanisation</w:t>
      </w:r>
      <w:proofErr w:type="spellEnd"/>
      <w:r>
        <w:t xml:space="preserve">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 xml:space="preserve">Figure 4.12: Recording a </w:t>
      </w:r>
      <w:proofErr w:type="spellStart"/>
      <w:r>
        <w:t>mechanisation</w:t>
      </w:r>
      <w:proofErr w:type="spellEnd"/>
      <w:r>
        <w:t xml:space="preserve"> cost, showing the cost classification control and land area entered as free text in the absence of an area field</w:t>
      </w:r>
      <w:r>
        <w:tab/>
        <w:t>—</w:t>
      </w:r>
    </w:p>
    <w:p w:rsidR="009C29EC" w:rsidRDefault="008A0666">
      <w:pPr>
        <w:pStyle w:val="TOC1"/>
        <w:tabs>
          <w:tab w:val="right" w:leader="dot" w:pos="8503"/>
        </w:tabs>
      </w:pPr>
      <w:r>
        <w:t xml:space="preserve">Figure 4.13: Record list filtered to </w:t>
      </w:r>
      <w:proofErr w:type="spellStart"/>
      <w:r>
        <w:t>mechanisation</w:t>
      </w:r>
      <w:proofErr w:type="spellEnd"/>
      <w:r>
        <w:t xml:space="preserve">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0" w:name="_Toc238053074"/>
      <w:bookmarkStart w:id="1" w:name="_Toc238621364"/>
      <w:r>
        <w:rPr>
          <w:bCs/>
          <w:szCs w:val="24"/>
        </w:rPr>
        <w:t>1.1 Background of the Study</w:t>
      </w:r>
      <w:bookmarkEnd w:id="0"/>
      <w:bookmarkEnd w:id="1"/>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w:t>
      </w:r>
      <w:proofErr w:type="spellStart"/>
      <w:r>
        <w:rPr>
          <w:szCs w:val="24"/>
        </w:rPr>
        <w:t>Dayıoğlu</w:t>
      </w:r>
      <w:proofErr w:type="spellEnd"/>
      <w:r>
        <w:rPr>
          <w:szCs w:val="24"/>
        </w:rPr>
        <w:t xml:space="preserve"> &amp; </w:t>
      </w:r>
      <w:proofErr w:type="spellStart"/>
      <w:r>
        <w:rPr>
          <w:szCs w:val="24"/>
        </w:rPr>
        <w:t>Türker</w:t>
      </w:r>
      <w:proofErr w:type="spellEnd"/>
      <w:r>
        <w:rPr>
          <w:szCs w:val="24"/>
        </w:rPr>
        <w:t>, 2021). To meet these escalating demands while mitigating the adverse impacts of climate change, resource depletion, and environmental degradation, traditional farming methodologies are rapidly shifting towards “Agriculture 4.0” (</w:t>
      </w:r>
      <w:proofErr w:type="spellStart"/>
      <w:r>
        <w:rPr>
          <w:szCs w:val="24"/>
        </w:rPr>
        <w:t>Abbasi</w:t>
      </w:r>
      <w:proofErr w:type="spellEnd"/>
      <w:r>
        <w:rPr>
          <w:szCs w:val="24"/>
        </w:rPr>
        <w:t xml:space="preserve"> et al., 2022). This paradigm integrates modern information and communication technologies (ICT), the Internet of Things (</w:t>
      </w:r>
      <w:proofErr w:type="spellStart"/>
      <w:r>
        <w:rPr>
          <w:szCs w:val="24"/>
        </w:rPr>
        <w:t>IoT</w:t>
      </w:r>
      <w:proofErr w:type="spellEnd"/>
      <w:r>
        <w:rPr>
          <w:szCs w:val="24"/>
        </w:rPr>
        <w:t xml:space="preserve">), artificial intelligence (AI), and data analytics to </w:t>
      </w:r>
      <w:proofErr w:type="spellStart"/>
      <w:r>
        <w:rPr>
          <w:szCs w:val="24"/>
        </w:rPr>
        <w:t>optimise</w:t>
      </w:r>
      <w:proofErr w:type="spellEnd"/>
      <w:r>
        <w:rPr>
          <w:szCs w:val="24"/>
        </w:rPr>
        <w:t xml:space="preserve"> agricultural systems (</w:t>
      </w:r>
      <w:proofErr w:type="spellStart"/>
      <w:r>
        <w:rPr>
          <w:szCs w:val="24"/>
        </w:rPr>
        <w:t>Abiri</w:t>
      </w:r>
      <w:proofErr w:type="spellEnd"/>
      <w:r>
        <w:rPr>
          <w:szCs w:val="24"/>
        </w:rPr>
        <w:t xml:space="preserve"> et al., 2023). At the core of this digital transformation is the necessity for accurate, real-time data collection and on-farm recordkeeping, which serve as the foundation for precision agriculture and operational efficiency (</w:t>
      </w:r>
      <w:proofErr w:type="spellStart"/>
      <w:r>
        <w:rPr>
          <w:szCs w:val="24"/>
        </w:rPr>
        <w:t>Basir</w:t>
      </w:r>
      <w:proofErr w:type="spellEnd"/>
      <w:r>
        <w:rPr>
          <w:szCs w:val="24"/>
        </w:rPr>
        <w:t xml:space="preserve"> et al., 2024).</w:t>
      </w:r>
    </w:p>
    <w:p w:rsidR="0054721A" w:rsidRDefault="008A0666">
      <w:pPr>
        <w:pStyle w:val="BodyPara"/>
      </w:pPr>
      <w:r>
        <w:rPr>
          <w:szCs w:val="24"/>
        </w:rPr>
        <w:t>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w:t>
      </w:r>
      <w:proofErr w:type="spellStart"/>
      <w:r>
        <w:rPr>
          <w:szCs w:val="24"/>
        </w:rPr>
        <w:t>Basir</w:t>
      </w:r>
      <w:proofErr w:type="spellEnd"/>
      <w:r>
        <w:rPr>
          <w:szCs w:val="24"/>
        </w:rPr>
        <w:t xml:space="preserve"> et al., 2024). In response, Farm Management Information Systems (FMIS) evolved from simple </w:t>
      </w:r>
      <w:proofErr w:type="spellStart"/>
      <w:r>
        <w:rPr>
          <w:szCs w:val="24"/>
        </w:rPr>
        <w:t>digitalised</w:t>
      </w:r>
      <w:proofErr w:type="spellEnd"/>
      <w:r>
        <w:rPr>
          <w:szCs w:val="24"/>
        </w:rPr>
        <w:t xml:space="preserve"> field books into complex platforms designed to collect, process, store, and disseminate data to support human decision-making in farm enterprises (</w:t>
      </w:r>
      <w:proofErr w:type="spellStart"/>
      <w:r>
        <w:rPr>
          <w:szCs w:val="24"/>
        </w:rPr>
        <w:t>Fountas</w:t>
      </w:r>
      <w:proofErr w:type="spellEnd"/>
      <w:r>
        <w:rPr>
          <w:szCs w:val="24"/>
        </w:rPr>
        <w:t xml:space="preserve"> et al., 2015; </w:t>
      </w:r>
      <w:proofErr w:type="spellStart"/>
      <w:r>
        <w:rPr>
          <w:szCs w:val="24"/>
        </w:rPr>
        <w:t>Tummers</w:t>
      </w:r>
      <w:proofErr w:type="spellEnd"/>
      <w:r>
        <w:rPr>
          <w:szCs w:val="24"/>
        </w:rPr>
        <w:t xml:space="preserve"> et al., 2019). Modern digital recordkeeping platforms streamline administrative burdens, facilitate data interoperability, and enable precise financial tracking and bioprocess monitoring. Empirical adoption studies further establish that uptake of these systems is strongly conditioned by farmers’ education, access to advisory services, and access to </w:t>
      </w:r>
      <w:r>
        <w:rPr>
          <w:szCs w:val="24"/>
        </w:rPr>
        <w:lastRenderedPageBreak/>
        <w:t>rural credit—factors that are unevenly distributed in developing economies (</w:t>
      </w:r>
      <w:proofErr w:type="spellStart"/>
      <w:r>
        <w:rPr>
          <w:szCs w:val="24"/>
        </w:rPr>
        <w:t>Carrer</w:t>
      </w:r>
      <w:proofErr w:type="spellEnd"/>
      <w:r>
        <w:rPr>
          <w:szCs w:val="24"/>
        </w:rPr>
        <w:t xml:space="preserve"> et al., 2017).</w:t>
      </w:r>
    </w:p>
    <w:p w:rsidR="0054721A" w:rsidRDefault="008A0666">
      <w:pPr>
        <w:pStyle w:val="BodyPara"/>
      </w:pPr>
      <w:r>
        <w:rPr>
          <w:szCs w:val="24"/>
        </w:rPr>
        <w:t>However, the distribution and adoption of these digital agricultural technologies remain highly unequal globally (</w:t>
      </w:r>
      <w:proofErr w:type="spellStart"/>
      <w:r>
        <w:rPr>
          <w:szCs w:val="24"/>
        </w:rPr>
        <w:t>Javaid</w:t>
      </w:r>
      <w:proofErr w:type="spellEnd"/>
      <w:r>
        <w:rPr>
          <w:szCs w:val="24"/>
        </w:rPr>
        <w:t xml:space="preserve"> et al., 2022; Mhlanga &amp; </w:t>
      </w:r>
      <w:proofErr w:type="spellStart"/>
      <w:r>
        <w:rPr>
          <w:szCs w:val="24"/>
        </w:rPr>
        <w:t>Ndhlovu</w:t>
      </w:r>
      <w:proofErr w:type="spellEnd"/>
      <w:r>
        <w:rPr>
          <w:szCs w:val="24"/>
        </w:rPr>
        <w:t>,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w:t>
      </w:r>
      <w:proofErr w:type="spellStart"/>
      <w:r>
        <w:rPr>
          <w:szCs w:val="24"/>
        </w:rPr>
        <w:t>Abioye</w:t>
      </w:r>
      <w:proofErr w:type="spellEnd"/>
      <w:r>
        <w:rPr>
          <w:szCs w:val="24"/>
        </w:rPr>
        <w:t xml:space="preserve"> et al., 2024). Market </w:t>
      </w:r>
      <w:proofErr w:type="spellStart"/>
      <w:r>
        <w:rPr>
          <w:szCs w:val="24"/>
        </w:rPr>
        <w:t>analyses</w:t>
      </w:r>
      <w:proofErr w:type="spellEnd"/>
      <w:r>
        <w:rPr>
          <w:szCs w:val="24"/>
        </w:rPr>
        <w:t xml:space="preserve">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w:t>
      </w:r>
      <w:proofErr w:type="spellStart"/>
      <w:r>
        <w:rPr>
          <w:szCs w:val="24"/>
        </w:rPr>
        <w:t>Ndhlovu</w:t>
      </w:r>
      <w:proofErr w:type="spellEnd"/>
      <w:r>
        <w:rPr>
          <w:szCs w:val="24"/>
        </w:rPr>
        <w:t xml:space="preserve">, 2023). Consequently, while the existing 32% smartphone penetration provides a critical leapfrog opportunity to deploy mobile-based agricultural advisory services, comprehensive digital farm record management remains heavily </w:t>
      </w:r>
      <w:proofErr w:type="spellStart"/>
      <w:r>
        <w:rPr>
          <w:szCs w:val="24"/>
        </w:rPr>
        <w:t>underutilised</w:t>
      </w:r>
      <w:proofErr w:type="spellEnd"/>
      <w:r>
        <w:rPr>
          <w:szCs w:val="24"/>
        </w:rPr>
        <w:t xml:space="preserve">. Engineers and software developers must therefore </w:t>
      </w:r>
      <w:proofErr w:type="spellStart"/>
      <w:r>
        <w:rPr>
          <w:szCs w:val="24"/>
        </w:rPr>
        <w:t>contextualise</w:t>
      </w:r>
      <w:proofErr w:type="spellEnd"/>
      <w:r>
        <w:rPr>
          <w:szCs w:val="24"/>
        </w:rPr>
        <w:t xml:space="preserve"> global digital-farming advancements into </w:t>
      </w:r>
      <w:proofErr w:type="spellStart"/>
      <w:r>
        <w:rPr>
          <w:szCs w:val="24"/>
        </w:rPr>
        <w:t>localised</w:t>
      </w:r>
      <w:proofErr w:type="spellEnd"/>
      <w:r>
        <w:rPr>
          <w:szCs w:val="24"/>
        </w:rPr>
        <w:t xml:space="preserve">, accessible platforms. Developing tools that merge farm </w:t>
      </w:r>
      <w:proofErr w:type="spellStart"/>
      <w:r>
        <w:rPr>
          <w:szCs w:val="24"/>
        </w:rPr>
        <w:t>mechanisation</w:t>
      </w:r>
      <w:proofErr w:type="spellEnd"/>
      <w:r>
        <w:rPr>
          <w:szCs w:val="24"/>
        </w:rPr>
        <w:t xml:space="preserve"> tracking, post-harvest bioprocess monitoring, and financial management into a single decision-support architecture holds the potential to strengthen agricultural productivity in Nigeria.</w:t>
      </w:r>
    </w:p>
    <w:p w:rsidR="0054721A" w:rsidRDefault="008A0666">
      <w:pPr>
        <w:pStyle w:val="H2"/>
      </w:pPr>
      <w:bookmarkStart w:id="2" w:name="_Toc238053075"/>
      <w:bookmarkStart w:id="3" w:name="_Toc238621365"/>
      <w:r>
        <w:rPr>
          <w:bCs/>
          <w:szCs w:val="24"/>
        </w:rPr>
        <w:t>1.2 Statement of the Problem</w:t>
      </w:r>
      <w:bookmarkEnd w:id="2"/>
      <w:bookmarkEnd w:id="3"/>
    </w:p>
    <w:p w:rsidR="0054721A" w:rsidRDefault="008A0666" w:rsidP="0054721A">
      <w:pPr>
        <w:pStyle w:val="BodyPara"/>
      </w:pPr>
      <w:r>
        <w:rPr>
          <w:szCs w:val="24"/>
        </w:rPr>
        <w:t>Despite the well-documented benefits of digital agriculture, practitioners and engineers in Nigeria face severe bottlenecks in adopting existing Farm Management Information Systems (FMIS) (</w:t>
      </w:r>
      <w:proofErr w:type="spellStart"/>
      <w:r>
        <w:rPr>
          <w:szCs w:val="24"/>
        </w:rPr>
        <w:t>Tummers</w:t>
      </w:r>
      <w:proofErr w:type="spellEnd"/>
      <w:r>
        <w:rPr>
          <w:szCs w:val="24"/>
        </w:rPr>
        <w:t xml:space="preserve"> et al., 2019). Current commercial FMIS platforms and Enterprise Resource Planning (ERP) systems frequently exhibit high complexity, lack </w:t>
      </w:r>
      <w:proofErr w:type="spellStart"/>
      <w:r>
        <w:rPr>
          <w:szCs w:val="24"/>
        </w:rPr>
        <w:lastRenderedPageBreak/>
        <w:t>standardised</w:t>
      </w:r>
      <w:proofErr w:type="spellEnd"/>
      <w:r>
        <w:rPr>
          <w:szCs w:val="24"/>
        </w:rPr>
        <w:t xml:space="preserve"> data formats, and impose prohibitive costs that exclude small and medium-scale farmers (</w:t>
      </w:r>
      <w:proofErr w:type="spellStart"/>
      <w:r>
        <w:rPr>
          <w:szCs w:val="24"/>
        </w:rPr>
        <w:t>Fountas</w:t>
      </w:r>
      <w:proofErr w:type="spellEnd"/>
      <w:r>
        <w:rPr>
          <w:szCs w:val="24"/>
        </w:rPr>
        <w:t xml:space="preserve"> et al., 2015; </w:t>
      </w:r>
      <w:proofErr w:type="spellStart"/>
      <w:r>
        <w:rPr>
          <w:szCs w:val="24"/>
        </w:rPr>
        <w:t>Giua</w:t>
      </w:r>
      <w:proofErr w:type="spellEnd"/>
      <w:r>
        <w:rPr>
          <w:szCs w:val="24"/>
        </w:rPr>
        <w:t xml:space="preserve">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w:t>
      </w:r>
      <w:proofErr w:type="spellStart"/>
      <w:r>
        <w:rPr>
          <w:szCs w:val="24"/>
        </w:rPr>
        <w:t>Poppe</w:t>
      </w:r>
      <w:proofErr w:type="spellEnd"/>
      <w:r>
        <w:rPr>
          <w:szCs w:val="24"/>
        </w:rPr>
        <w:t xml:space="preserve"> et al., 2023)</w:t>
      </w:r>
      <w:r w:rsidR="00C97671">
        <w:rPr>
          <w:szCs w:val="24"/>
        </w:rPr>
        <w:t>. Because essential metrics</w:t>
      </w:r>
      <w:r w:rsidR="00801DB6">
        <w:rPr>
          <w:szCs w:val="24"/>
        </w:rPr>
        <w:t xml:space="preserve"> </w:t>
      </w:r>
      <w:r>
        <w:rPr>
          <w:szCs w:val="24"/>
        </w:rPr>
        <w:t xml:space="preserve">such as equipment maintenance schedules, </w:t>
      </w:r>
      <w:proofErr w:type="spellStart"/>
      <w:r>
        <w:rPr>
          <w:szCs w:val="24"/>
        </w:rPr>
        <w:t>labour</w:t>
      </w:r>
      <w:proofErr w:type="spellEnd"/>
      <w:r>
        <w:rPr>
          <w:szCs w:val="24"/>
        </w:rPr>
        <w:t xml:space="preserve"> inputs, crop-yield d</w:t>
      </w:r>
      <w:r w:rsidR="00801DB6">
        <w:rPr>
          <w:szCs w:val="24"/>
        </w:rPr>
        <w:t xml:space="preserve">ata, and financial expenditures </w:t>
      </w:r>
      <w:r>
        <w:rPr>
          <w:szCs w:val="24"/>
        </w:rPr>
        <w:t xml:space="preserve">are </w:t>
      </w:r>
      <w:proofErr w:type="spellStart"/>
      <w:r>
        <w:rPr>
          <w:szCs w:val="24"/>
        </w:rPr>
        <w:t>siloed</w:t>
      </w:r>
      <w:proofErr w:type="spellEnd"/>
      <w:r>
        <w:rPr>
          <w:szCs w:val="24"/>
        </w:rPr>
        <w:t xml:space="preserve">, farmers cannot accurately correlate </w:t>
      </w:r>
      <w:proofErr w:type="spellStart"/>
      <w:r>
        <w:rPr>
          <w:szCs w:val="24"/>
        </w:rPr>
        <w:t>mechanisation</w:t>
      </w:r>
      <w:proofErr w:type="spellEnd"/>
      <w:r>
        <w:rPr>
          <w:szCs w:val="24"/>
        </w:rPr>
        <w:t xml:space="preserve"> inputs or biological variables with actual financial profitability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Without interoperable, structured data, Nigerian agricultural enterprises cannot deploy predictive analytics or decision-support algorithms to </w:t>
      </w:r>
      <w:proofErr w:type="spellStart"/>
      <w:r>
        <w:rPr>
          <w:szCs w:val="24"/>
        </w:rPr>
        <w:t>optimise</w:t>
      </w:r>
      <w:proofErr w:type="spellEnd"/>
      <w:r>
        <w:rPr>
          <w:szCs w:val="24"/>
        </w:rPr>
        <w:t xml:space="preserve"> resource </w:t>
      </w:r>
      <w:proofErr w:type="spellStart"/>
      <w:r>
        <w:rPr>
          <w:szCs w:val="24"/>
        </w:rPr>
        <w:t>utilisation</w:t>
      </w:r>
      <w:proofErr w:type="spellEnd"/>
      <w:r>
        <w:rPr>
          <w:szCs w:val="24"/>
        </w:rPr>
        <w:t xml:space="preserve"> (van </w:t>
      </w:r>
      <w:proofErr w:type="spellStart"/>
      <w:r>
        <w:rPr>
          <w:szCs w:val="24"/>
        </w:rPr>
        <w:t>Klompenburg</w:t>
      </w:r>
      <w:proofErr w:type="spellEnd"/>
      <w:r>
        <w:rPr>
          <w:szCs w:val="24"/>
        </w:rPr>
        <w:t xml:space="preserve"> et al., 2020). In rural contexts where poor internet connectivity and limited technical training exacerbate these issues, deploying resource-intensive, cloud-heavy ERP solutions proves impractical (</w:t>
      </w:r>
      <w:proofErr w:type="spellStart"/>
      <w:r>
        <w:rPr>
          <w:szCs w:val="24"/>
        </w:rPr>
        <w:t>Abbasi</w:t>
      </w:r>
      <w:proofErr w:type="spellEnd"/>
      <w:r>
        <w:rPr>
          <w:szCs w:val="24"/>
        </w:rPr>
        <w:t xml:space="preserve"> et al., 2022; Mhlanga &amp; </w:t>
      </w:r>
      <w:proofErr w:type="spellStart"/>
      <w:r>
        <w:rPr>
          <w:szCs w:val="24"/>
        </w:rPr>
        <w:t>Ndhlovu</w:t>
      </w:r>
      <w:proofErr w:type="spellEnd"/>
      <w:r>
        <w:rPr>
          <w:szCs w:val="24"/>
        </w:rPr>
        <w:t xml:space="preserve">, 2023). Therefore, a critical gap exists for a </w:t>
      </w:r>
      <w:proofErr w:type="spellStart"/>
      <w:r>
        <w:rPr>
          <w:szCs w:val="24"/>
        </w:rPr>
        <w:t>localised</w:t>
      </w:r>
      <w:proofErr w:type="spellEnd"/>
      <w:r>
        <w:rPr>
          <w:szCs w:val="24"/>
        </w:rPr>
        <w:t>,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4" w:name="_Toc238053076"/>
      <w:bookmarkStart w:id="5" w:name="_Toc238621366"/>
      <w:r>
        <w:rPr>
          <w:bCs/>
          <w:szCs w:val="24"/>
        </w:rPr>
        <w:t>1.3 Aim and Objectives</w:t>
      </w:r>
      <w:bookmarkEnd w:id="4"/>
      <w:bookmarkEnd w:id="5"/>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overcomes socio-technical adoption barriers to improve resource allocation, </w:t>
      </w:r>
      <w:proofErr w:type="spellStart"/>
      <w:r>
        <w:rPr>
          <w:szCs w:val="24"/>
        </w:rPr>
        <w:lastRenderedPageBreak/>
        <w:t>mechanisation</w:t>
      </w:r>
      <w:proofErr w:type="spellEnd"/>
      <w:r>
        <w:rPr>
          <w:szCs w:val="24"/>
        </w:rPr>
        <w:t xml:space="preserve">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proofErr w:type="spellStart"/>
      <w:r>
        <w:rPr>
          <w:szCs w:val="24"/>
        </w:rPr>
        <w:t>i</w:t>
      </w:r>
      <w:proofErr w:type="spellEnd"/>
      <w:r>
        <w:rPr>
          <w:szCs w:val="24"/>
        </w:rPr>
        <w:t>.</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t>ii.</w:t>
      </w:r>
      <w:r>
        <w:rPr>
          <w:szCs w:val="24"/>
        </w:rPr>
        <w:tab/>
        <w:t xml:space="preserve">To formulate a conceptual system architecture for the AGRI-PROFIT platform that translates static operational and financial farm records into dynamic, actionable decision-support metrics for costing crop enterprises and for capturing </w:t>
      </w:r>
      <w:proofErr w:type="spellStart"/>
      <w:r>
        <w:rPr>
          <w:szCs w:val="24"/>
        </w:rPr>
        <w:t>mechanisation</w:t>
      </w:r>
      <w:proofErr w:type="spellEnd"/>
      <w:r>
        <w:rPr>
          <w:szCs w:val="24"/>
        </w:rPr>
        <w:t xml:space="preserve"> and equipment expenditure within the same ledger (</w:t>
      </w:r>
      <w:proofErr w:type="spellStart"/>
      <w:r>
        <w:rPr>
          <w:szCs w:val="24"/>
        </w:rPr>
        <w:t>Gebresenbet</w:t>
      </w:r>
      <w:proofErr w:type="spellEnd"/>
      <w:r>
        <w:rPr>
          <w:szCs w:val="24"/>
        </w:rPr>
        <w:t xml:space="preserve"> et al., 2023).</w:t>
      </w:r>
    </w:p>
    <w:p w:rsidR="0054721A" w:rsidRDefault="008A0666" w:rsidP="0054721A">
      <w:pPr>
        <w:pStyle w:val="ListItem"/>
        <w:tabs>
          <w:tab w:val="left" w:pos="864"/>
        </w:tabs>
      </w:pPr>
      <w:r>
        <w:rPr>
          <w:szCs w:val="24"/>
        </w:rPr>
        <w:t>iii.</w:t>
      </w:r>
      <w:r>
        <w:rPr>
          <w:szCs w:val="24"/>
        </w:rPr>
        <w:tab/>
        <w:t xml:space="preserve">To design and integrate a secure data-sharing framework within the platform architecture that </w:t>
      </w:r>
      <w:proofErr w:type="spellStart"/>
      <w:r>
        <w:rPr>
          <w:szCs w:val="24"/>
        </w:rPr>
        <w:t>standardises</w:t>
      </w:r>
      <w:proofErr w:type="spellEnd"/>
      <w:r>
        <w:rPr>
          <w:szCs w:val="24"/>
        </w:rPr>
        <w:t xml:space="preserve"> yield and profit/loss reporting, serving as a verifiable analytical tool to build operational trust among agricultural banks, investors, and policymakers (</w:t>
      </w:r>
      <w:proofErr w:type="spellStart"/>
      <w:r>
        <w:rPr>
          <w:szCs w:val="24"/>
        </w:rPr>
        <w:t>Xiong</w:t>
      </w:r>
      <w:proofErr w:type="spellEnd"/>
      <w:r>
        <w:rPr>
          <w:szCs w:val="24"/>
        </w:rPr>
        <w:t xml:space="preserve"> et al., 2020; </w:t>
      </w:r>
      <w:proofErr w:type="spellStart"/>
      <w:r>
        <w:rPr>
          <w:szCs w:val="24"/>
        </w:rPr>
        <w:t>Abiri</w:t>
      </w:r>
      <w:proofErr w:type="spellEnd"/>
      <w:r>
        <w:rPr>
          <w:szCs w:val="24"/>
        </w:rPr>
        <w:t xml:space="preserve">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w:t>
      </w:r>
      <w:proofErr w:type="spellStart"/>
      <w:r>
        <w:t>Onwude</w:t>
      </w:r>
      <w:proofErr w:type="spellEnd"/>
      <w:r>
        <w:t xml:space="preserve"> et al., 2016; </w:t>
      </w:r>
      <w:proofErr w:type="spellStart"/>
      <w:r>
        <w:t>Baidhe</w:t>
      </w:r>
      <w:proofErr w:type="spellEnd"/>
      <w:r>
        <w:t xml:space="preserve"> et al., 2024).</w:t>
      </w:r>
    </w:p>
    <w:p w:rsidR="0054721A" w:rsidRDefault="008A0666">
      <w:pPr>
        <w:pStyle w:val="H2"/>
      </w:pPr>
      <w:bookmarkStart w:id="6" w:name="_Toc238053077"/>
      <w:bookmarkStart w:id="7" w:name="_Toc238621367"/>
      <w:r>
        <w:rPr>
          <w:bCs/>
          <w:szCs w:val="24"/>
        </w:rPr>
        <w:t>1.4 Justification of the Study</w:t>
      </w:r>
      <w:bookmarkEnd w:id="6"/>
      <w:bookmarkEnd w:id="7"/>
    </w:p>
    <w:p w:rsidR="0054721A" w:rsidRDefault="008A0666" w:rsidP="0054721A">
      <w:pPr>
        <w:pStyle w:val="BodyPara"/>
      </w:pPr>
      <w:r>
        <w:rPr>
          <w:szCs w:val="24"/>
        </w:rPr>
        <w:t xml:space="preserve">The development of the AGRI-PROFIT platform delivers immediate economic and operational benefits to agricultural producers while significantly advancing the discipline of Agricultural and Bio-resources </w:t>
      </w:r>
      <w:proofErr w:type="gramStart"/>
      <w:r>
        <w:rPr>
          <w:szCs w:val="24"/>
        </w:rPr>
        <w:t>Engineering</w:t>
      </w:r>
      <w:proofErr w:type="gramEnd"/>
      <w:r>
        <w:rPr>
          <w:szCs w:val="24"/>
        </w:rPr>
        <w:t>. For farmers and agribusiness managers, the system addresses the critical need to mitigate administrative burdens and overcome data fragmentation (</w:t>
      </w:r>
      <w:proofErr w:type="spellStart"/>
      <w:r>
        <w:rPr>
          <w:szCs w:val="24"/>
        </w:rPr>
        <w:t>Poppe</w:t>
      </w:r>
      <w:proofErr w:type="spellEnd"/>
      <w:r>
        <w:rPr>
          <w:szCs w:val="24"/>
        </w:rPr>
        <w:t xml:space="preserve"> et al., 2023). By </w:t>
      </w:r>
      <w:proofErr w:type="spellStart"/>
      <w:r>
        <w:rPr>
          <w:szCs w:val="24"/>
        </w:rPr>
        <w:t>synthesising</w:t>
      </w:r>
      <w:proofErr w:type="spellEnd"/>
      <w:r>
        <w:rPr>
          <w:szCs w:val="24"/>
        </w:rPr>
        <w:t xml:space="preserve"> operational field records with financial data, AGRI-PROFIT empowers farm managers to transition from intuition-based strategies (</w:t>
      </w:r>
      <w:proofErr w:type="spellStart"/>
      <w:r>
        <w:rPr>
          <w:szCs w:val="24"/>
        </w:rPr>
        <w:t>Husemann</w:t>
      </w:r>
      <w:proofErr w:type="spellEnd"/>
      <w:r>
        <w:rPr>
          <w:szCs w:val="24"/>
        </w:rPr>
        <w:t xml:space="preserve"> &amp; </w:t>
      </w:r>
      <w:proofErr w:type="spellStart"/>
      <w:r>
        <w:rPr>
          <w:szCs w:val="24"/>
        </w:rPr>
        <w:t>Novković</w:t>
      </w:r>
      <w:proofErr w:type="spellEnd"/>
      <w:r>
        <w:rPr>
          <w:szCs w:val="24"/>
        </w:rPr>
        <w:t xml:space="preserve">, 2012) to evidence-based precision farming. This transition allows producers to precisely calculate production costs, reduce resource wastage, and </w:t>
      </w:r>
      <w:proofErr w:type="spellStart"/>
      <w:r>
        <w:rPr>
          <w:szCs w:val="24"/>
        </w:rPr>
        <w:t>maximise</w:t>
      </w:r>
      <w:proofErr w:type="spellEnd"/>
      <w:r>
        <w:rPr>
          <w:szCs w:val="24"/>
        </w:rPr>
        <w:t xml:space="preserve"> gross margins at the specific crop-enterprise level (</w:t>
      </w:r>
      <w:proofErr w:type="spellStart"/>
      <w:r>
        <w:rPr>
          <w:szCs w:val="24"/>
        </w:rPr>
        <w:t>Basir</w:t>
      </w:r>
      <w:proofErr w:type="spellEnd"/>
      <w:r>
        <w:rPr>
          <w:szCs w:val="24"/>
        </w:rPr>
        <w:t xml:space="preserve">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 By formulating a robust conceptual system architecture, the platform addresses a major macro-economic problem for the agricultural sector: the lack of credible, </w:t>
      </w:r>
      <w:proofErr w:type="spellStart"/>
      <w:r>
        <w:rPr>
          <w:szCs w:val="24"/>
        </w:rPr>
        <w:t>standardised</w:t>
      </w:r>
      <w:proofErr w:type="spellEnd"/>
      <w:r>
        <w:rPr>
          <w:szCs w:val="24"/>
        </w:rPr>
        <w:t xml:space="preserve"> data required by agricultural banks and investors to approve financing or insurance (</w:t>
      </w:r>
      <w:proofErr w:type="spellStart"/>
      <w:r>
        <w:rPr>
          <w:szCs w:val="24"/>
        </w:rPr>
        <w:t>Gebresenbet</w:t>
      </w:r>
      <w:proofErr w:type="spellEnd"/>
      <w:r>
        <w:rPr>
          <w:szCs w:val="24"/>
        </w:rPr>
        <w:t xml:space="preserve"> et al., 2023; </w:t>
      </w:r>
      <w:proofErr w:type="spellStart"/>
      <w:r>
        <w:rPr>
          <w:szCs w:val="24"/>
        </w:rPr>
        <w:t>Xiong</w:t>
      </w:r>
      <w:proofErr w:type="spellEnd"/>
      <w:r>
        <w:rPr>
          <w:szCs w:val="24"/>
        </w:rPr>
        <w:t xml:space="preserve"> et al., 2020).</w:t>
      </w:r>
    </w:p>
    <w:p w:rsidR="0054721A" w:rsidRDefault="008A0666">
      <w:pPr>
        <w:pStyle w:val="BodyPara"/>
      </w:pPr>
      <w:r>
        <w:rPr>
          <w:szCs w:val="24"/>
        </w:rPr>
        <w:lastRenderedPageBreak/>
        <w:t xml:space="preserve">For Agricultural and Bio-resources Engineers, this research demonstrates the vital intersection of cyber-physical systems, data analytics, and agricultural management, often termed </w:t>
      </w:r>
      <w:proofErr w:type="spellStart"/>
      <w:r>
        <w:rPr>
          <w:szCs w:val="24"/>
        </w:rPr>
        <w:t>AgInformatics</w:t>
      </w:r>
      <w:proofErr w:type="spellEnd"/>
      <w:r>
        <w:rPr>
          <w:szCs w:val="24"/>
        </w:rPr>
        <w:t xml:space="preserve">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As the Nigerian agricultural sector seeks to </w:t>
      </w:r>
      <w:proofErr w:type="spellStart"/>
      <w:r>
        <w:rPr>
          <w:szCs w:val="24"/>
        </w:rPr>
        <w:t>modernise</w:t>
      </w:r>
      <w:proofErr w:type="spellEnd"/>
      <w:r>
        <w:rPr>
          <w:szCs w:val="24"/>
        </w:rPr>
        <w:t xml:space="preserve">, engineers must move beyond designing physical machinery to developing the software infrastructures required to manage those machines efficiently. Developing </w:t>
      </w:r>
      <w:proofErr w:type="spellStart"/>
      <w:r>
        <w:rPr>
          <w:szCs w:val="24"/>
        </w:rPr>
        <w:t>localised</w:t>
      </w:r>
      <w:proofErr w:type="spellEnd"/>
      <w:r>
        <w:rPr>
          <w:szCs w:val="24"/>
        </w:rPr>
        <w:t xml:space="preserve"> digital tools ensures that Nigeria can sustainably participate in the Agriculture 4.0 revolution, ultimately driving long-term food security and economic resilience (Mhlanga &amp; </w:t>
      </w:r>
      <w:proofErr w:type="spellStart"/>
      <w:r>
        <w:rPr>
          <w:szCs w:val="24"/>
        </w:rPr>
        <w:t>Ndhlovu</w:t>
      </w:r>
      <w:proofErr w:type="spellEnd"/>
      <w:r>
        <w:rPr>
          <w:szCs w:val="24"/>
        </w:rPr>
        <w:t>, 2023).</w:t>
      </w:r>
    </w:p>
    <w:p w:rsidR="0054721A" w:rsidRDefault="008A0666">
      <w:pPr>
        <w:pStyle w:val="H2"/>
      </w:pPr>
      <w:bookmarkStart w:id="8" w:name="_Toc238053078"/>
      <w:bookmarkStart w:id="9" w:name="_Toc238621368"/>
      <w:r>
        <w:rPr>
          <w:bCs/>
          <w:szCs w:val="24"/>
        </w:rPr>
        <w:t>1.5 Scope and Limitations of the Study</w:t>
      </w:r>
      <w:bookmarkEnd w:id="8"/>
      <w:bookmarkEnd w:id="9"/>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 xml:space="preserve">of the AGRI-PROFIT platform, tailored specifically for Nigerian agricultural practices. The platform primarily targets core FMIS functionalities: digital operational logbooks, financial-accounting integration, </w:t>
      </w:r>
      <w:proofErr w:type="spellStart"/>
      <w:r>
        <w:rPr>
          <w:szCs w:val="24"/>
        </w:rPr>
        <w:t>mechanisation</w:t>
      </w:r>
      <w:proofErr w:type="spellEnd"/>
      <w:r>
        <w:rPr>
          <w:szCs w:val="24"/>
        </w:rPr>
        <w:t xml:space="preserve">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w:t>
      </w:r>
      <w:proofErr w:type="spellStart"/>
      <w:r>
        <w:rPr>
          <w:szCs w:val="24"/>
        </w:rPr>
        <w:t>prioritises</w:t>
      </w:r>
      <w:proofErr w:type="spellEnd"/>
      <w:r>
        <w:rPr>
          <w:szCs w:val="24"/>
        </w:rPr>
        <w:t xml:space="preserve"> manual digital inputs via smartphones or computers rather than relying on fully automated, capital-intensive </w:t>
      </w:r>
      <w:proofErr w:type="spellStart"/>
      <w:r>
        <w:rPr>
          <w:szCs w:val="24"/>
        </w:rPr>
        <w:t>IoT</w:t>
      </w:r>
      <w:proofErr w:type="spellEnd"/>
      <w:r>
        <w:rPr>
          <w:szCs w:val="24"/>
        </w:rPr>
        <w:t xml:space="preserve"> sensor networks (</w:t>
      </w:r>
      <w:proofErr w:type="spellStart"/>
      <w:r>
        <w:rPr>
          <w:szCs w:val="24"/>
        </w:rPr>
        <w:t>Abbasi</w:t>
      </w:r>
      <w:proofErr w:type="spellEnd"/>
      <w:r>
        <w:rPr>
          <w:szCs w:val="24"/>
        </w:rPr>
        <w:t xml:space="preserve"> et al., 2022; </w:t>
      </w:r>
      <w:proofErr w:type="spellStart"/>
      <w:r>
        <w:rPr>
          <w:szCs w:val="24"/>
        </w:rPr>
        <w:t>Basir</w:t>
      </w:r>
      <w:proofErr w:type="spellEnd"/>
      <w:r>
        <w:rPr>
          <w:szCs w:val="24"/>
        </w:rPr>
        <w:t xml:space="preserve">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w:t>
      </w:r>
      <w:proofErr w:type="spellStart"/>
      <w:r>
        <w:rPr>
          <w:szCs w:val="24"/>
        </w:rPr>
        <w:t>Ndhlovu</w:t>
      </w:r>
      <w:proofErr w:type="spellEnd"/>
      <w:r>
        <w:rPr>
          <w:szCs w:val="24"/>
        </w:rPr>
        <w:t xml:space="preserve">,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 xml:space="preserve">rather than advanced deep-learning algorithms, keeping the computational requirement within modest server hosting and accessible mobile clients (van </w:t>
      </w:r>
      <w:proofErr w:type="spellStart"/>
      <w:r>
        <w:rPr>
          <w:szCs w:val="24"/>
        </w:rPr>
        <w:t>Klompenburg</w:t>
      </w:r>
      <w:proofErr w:type="spellEnd"/>
      <w:r>
        <w:rPr>
          <w:szCs w:val="24"/>
        </w:rPr>
        <w:t xml:space="preserve"> et al., 2020).</w:t>
      </w:r>
    </w:p>
    <w:p w:rsidR="009C29EC" w:rsidRDefault="008A0666">
      <w:pPr>
        <w:pStyle w:val="ChapterLabel"/>
      </w:pPr>
      <w:bookmarkStart w:id="10" w:name="_Toc238621369"/>
      <w:r>
        <w:rPr>
          <w:szCs w:val="28"/>
        </w:rPr>
        <w:lastRenderedPageBreak/>
        <w:t>CHAPTER TWO</w:t>
      </w:r>
      <w:bookmarkEnd w:id="10"/>
    </w:p>
    <w:p w:rsidR="009C29EC" w:rsidRDefault="008A0666">
      <w:pPr>
        <w:pStyle w:val="ChapterTitle"/>
      </w:pPr>
      <w:bookmarkStart w:id="11" w:name="_Toc238621370"/>
      <w:r>
        <w:rPr>
          <w:szCs w:val="28"/>
        </w:rPr>
        <w:t>2.0</w:t>
      </w:r>
      <w:r w:rsidR="00742DC7">
        <w:rPr>
          <w:szCs w:val="28"/>
        </w:rPr>
        <w:t> LITERATURE</w:t>
      </w:r>
      <w:r>
        <w:rPr>
          <w:szCs w:val="28"/>
        </w:rPr>
        <w:t xml:space="preserve"> REVIEW</w:t>
      </w:r>
      <w:bookmarkEnd w:id="11"/>
    </w:p>
    <w:p w:rsidR="0054721A" w:rsidRDefault="008A0666">
      <w:pPr>
        <w:pStyle w:val="H2"/>
      </w:pPr>
      <w:bookmarkStart w:id="12" w:name="_Toc238053080"/>
      <w:bookmarkStart w:id="13" w:name="_Toc238621371"/>
      <w:r>
        <w:rPr>
          <w:bCs/>
          <w:szCs w:val="24"/>
        </w:rPr>
        <w:t>2.1 Conceptual Review</w:t>
      </w:r>
      <w:bookmarkEnd w:id="12"/>
      <w:bookmarkEnd w:id="13"/>
    </w:p>
    <w:p w:rsidR="0054721A" w:rsidRDefault="008A0666">
      <w:pPr>
        <w:pStyle w:val="H3"/>
      </w:pPr>
      <w:bookmarkStart w:id="14" w:name="_Toc238053081"/>
      <w:bookmarkStart w:id="15" w:name="_Toc238621372"/>
      <w:r>
        <w:rPr>
          <w:bCs/>
          <w:szCs w:val="24"/>
        </w:rPr>
        <w:t>2.1.1 The Evolution of Farm Record Management</w:t>
      </w:r>
      <w:bookmarkEnd w:id="14"/>
      <w:bookmarkEnd w:id="15"/>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 xml:space="preserve">To address these inefficiencies, Farm Management Information Systems (FMIS) emerged as </w:t>
      </w:r>
      <w:proofErr w:type="spellStart"/>
      <w:r>
        <w:rPr>
          <w:szCs w:val="24"/>
        </w:rPr>
        <w:t>centralised</w:t>
      </w:r>
      <w:proofErr w:type="spellEnd"/>
      <w:r>
        <w:rPr>
          <w:szCs w:val="24"/>
        </w:rPr>
        <w:t>, planned architectures designed to collect, process, store, and disseminate agricultural data (</w:t>
      </w:r>
      <w:proofErr w:type="spellStart"/>
      <w:r>
        <w:rPr>
          <w:szCs w:val="24"/>
        </w:rPr>
        <w:t>Fountas</w:t>
      </w:r>
      <w:proofErr w:type="spellEnd"/>
      <w:r>
        <w:rPr>
          <w:szCs w:val="24"/>
        </w:rPr>
        <w:t xml:space="preserve"> et al., 2015). A critical evolutionary flaw, however, occurred in farm administration: the separation of Farm Financial Accounts (FFA) from operational bioprocess records. As </w:t>
      </w:r>
      <w:proofErr w:type="spellStart"/>
      <w:r>
        <w:rPr>
          <w:szCs w:val="24"/>
        </w:rPr>
        <w:t>Poppe</w:t>
      </w:r>
      <w:proofErr w:type="spellEnd"/>
      <w:r>
        <w:rPr>
          <w:szCs w:val="24"/>
        </w:rPr>
        <w:t xml:space="preserve"> et al. (2023) observed, financial accounting and farm-management systems originated from the same historical note-taking practices but diverged into separate software ecosystems as they </w:t>
      </w:r>
      <w:proofErr w:type="spellStart"/>
      <w:r>
        <w:rPr>
          <w:szCs w:val="24"/>
        </w:rPr>
        <w:t>computerised</w:t>
      </w:r>
      <w:proofErr w:type="spellEnd"/>
      <w:r>
        <w:rPr>
          <w:szCs w:val="24"/>
        </w:rPr>
        <w:t>.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6" w:name="_Toc238053082"/>
      <w:bookmarkStart w:id="17" w:name="_Toc238621373"/>
      <w:r>
        <w:rPr>
          <w:bCs/>
          <w:szCs w:val="24"/>
        </w:rPr>
        <w:lastRenderedPageBreak/>
        <w:t>2.1.2 Decision-Support Systems (DSS)</w:t>
      </w:r>
      <w:bookmarkEnd w:id="16"/>
      <w:bookmarkEnd w:id="17"/>
    </w:p>
    <w:p w:rsidR="0054721A" w:rsidRDefault="008A0666" w:rsidP="0054721A">
      <w:pPr>
        <w:pStyle w:val="BodyPara"/>
      </w:pPr>
      <w:r>
        <w:rPr>
          <w:szCs w:val="24"/>
        </w:rPr>
        <w:t xml:space="preserve">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w:t>
      </w:r>
      <w:proofErr w:type="spellStart"/>
      <w:r>
        <w:rPr>
          <w:szCs w:val="24"/>
        </w:rPr>
        <w:t>optimised</w:t>
      </w:r>
      <w:proofErr w:type="spellEnd"/>
      <w:r>
        <w:rPr>
          <w:szCs w:val="24"/>
        </w:rPr>
        <w:t xml:space="preserve"> alternatives (van </w:t>
      </w:r>
      <w:proofErr w:type="spellStart"/>
      <w:r>
        <w:rPr>
          <w:szCs w:val="24"/>
        </w:rPr>
        <w:t>Klompenburg</w:t>
      </w:r>
      <w:proofErr w:type="spellEnd"/>
      <w:r>
        <w:rPr>
          <w:szCs w:val="24"/>
        </w:rPr>
        <w:t xml:space="preserve"> et al., 2020). By converting complex biological and economic variables into understandable </w:t>
      </w:r>
      <w:proofErr w:type="spellStart"/>
      <w:r>
        <w:rPr>
          <w:szCs w:val="24"/>
        </w:rPr>
        <w:t>visualisations</w:t>
      </w:r>
      <w:proofErr w:type="spellEnd"/>
      <w:r>
        <w:rPr>
          <w:szCs w:val="24"/>
        </w:rPr>
        <w:t xml:space="preserve">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w:t>
      </w:r>
      <w:proofErr w:type="spellStart"/>
      <w:r>
        <w:rPr>
          <w:szCs w:val="24"/>
        </w:rPr>
        <w:t>Olisah</w:t>
      </w:r>
      <w:proofErr w:type="spellEnd"/>
      <w:r>
        <w:rPr>
          <w:szCs w:val="24"/>
        </w:rPr>
        <w:t xml:space="preserve"> et al., 2024).</w:t>
      </w:r>
    </w:p>
    <w:p w:rsidR="0054721A" w:rsidRDefault="008A0666">
      <w:pPr>
        <w:pStyle w:val="H3"/>
      </w:pPr>
      <w:bookmarkStart w:id="18" w:name="_Toc238053083"/>
      <w:bookmarkStart w:id="19" w:name="_Toc238621374"/>
      <w:r>
        <w:rPr>
          <w:bCs/>
          <w:szCs w:val="24"/>
        </w:rPr>
        <w:t>2.1.3 The Shift from Manual to Digital Agriculture (Agriculture 4.0)</w:t>
      </w:r>
      <w:bookmarkEnd w:id="18"/>
      <w:bookmarkEnd w:id="19"/>
    </w:p>
    <w:p w:rsidR="0054721A" w:rsidRDefault="008A0666" w:rsidP="0054721A">
      <w:pPr>
        <w:pStyle w:val="BodyPara"/>
      </w:pPr>
      <w:r>
        <w:rPr>
          <w:szCs w:val="24"/>
        </w:rPr>
        <w:t xml:space="preserve">The agricultural sector is currently undergoing a disruptive transformation termed “Agriculture 4.0” or digital agriculture. This paradigm shifts farming from intuition-based practices to data-driven precision by integrating the </w:t>
      </w:r>
      <w:proofErr w:type="spellStart"/>
      <w:r>
        <w:rPr>
          <w:szCs w:val="24"/>
        </w:rPr>
        <w:t>IoT</w:t>
      </w:r>
      <w:proofErr w:type="spellEnd"/>
      <w:r>
        <w:rPr>
          <w:szCs w:val="24"/>
        </w:rPr>
        <w:t xml:space="preserve">, artificial intelligence, robotics, and big-data analytics. Agriculture 4.0 operates across distinct architectural layers: sensors and </w:t>
      </w:r>
      <w:proofErr w:type="spellStart"/>
      <w:r>
        <w:rPr>
          <w:szCs w:val="24"/>
        </w:rPr>
        <w:t>IoT</w:t>
      </w:r>
      <w:proofErr w:type="spellEnd"/>
      <w:r>
        <w:rPr>
          <w:szCs w:val="24"/>
        </w:rPr>
        <w:t xml:space="preserve">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w:t>
      </w:r>
      <w:proofErr w:type="spellStart"/>
      <w:r>
        <w:rPr>
          <w:szCs w:val="24"/>
        </w:rPr>
        <w:t>utilises</w:t>
      </w:r>
      <w:proofErr w:type="spellEnd"/>
      <w:r>
        <w:rPr>
          <w:szCs w:val="24"/>
        </w:rPr>
        <w:t xml:space="preserve"> Edge Computin</w:t>
      </w:r>
      <w:r w:rsidR="00376534">
        <w:rPr>
          <w:szCs w:val="24"/>
        </w:rPr>
        <w:t xml:space="preserve">g, which processes data locally closer to the farm </w:t>
      </w:r>
      <w:r>
        <w:rPr>
          <w:szCs w:val="24"/>
        </w:rPr>
        <w:t>thereby reducing latency and mitigating the vulnerabilities of poor rural internet connectivity (</w:t>
      </w:r>
      <w:proofErr w:type="spellStart"/>
      <w:r>
        <w:rPr>
          <w:szCs w:val="24"/>
        </w:rPr>
        <w:t>Abiri</w:t>
      </w:r>
      <w:proofErr w:type="spellEnd"/>
      <w:r>
        <w:rPr>
          <w:szCs w:val="24"/>
        </w:rPr>
        <w:t xml:space="preserve"> et al., 2023;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Mhlanga and </w:t>
      </w:r>
      <w:proofErr w:type="spellStart"/>
      <w:r>
        <w:rPr>
          <w:szCs w:val="24"/>
        </w:rPr>
        <w:t>Ndhlovu</w:t>
      </w:r>
      <w:proofErr w:type="spellEnd"/>
      <w:r>
        <w:rPr>
          <w:szCs w:val="24"/>
        </w:rPr>
        <w:t xml:space="preserve">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0" w:name="_Toc238053084"/>
      <w:bookmarkStart w:id="21" w:name="_Toc238621375"/>
      <w:r>
        <w:rPr>
          <w:bCs/>
          <w:szCs w:val="24"/>
        </w:rPr>
        <w:t>2.2 Theoretical Framework</w:t>
      </w:r>
      <w:bookmarkEnd w:id="20"/>
      <w:bookmarkEnd w:id="21"/>
    </w:p>
    <w:p w:rsidR="0054721A" w:rsidRDefault="008A0666">
      <w:pPr>
        <w:pStyle w:val="H3"/>
      </w:pPr>
      <w:bookmarkStart w:id="22" w:name="_Toc238053085"/>
      <w:bookmarkStart w:id="23" w:name="_Toc238621376"/>
      <w:r>
        <w:rPr>
          <w:bCs/>
          <w:szCs w:val="24"/>
        </w:rPr>
        <w:t>2.2.1 Technology Acceptance and Innovation Systems Theories</w:t>
      </w:r>
      <w:bookmarkEnd w:id="22"/>
      <w:bookmarkEnd w:id="23"/>
    </w:p>
    <w:p w:rsidR="0054721A" w:rsidRDefault="008A0666" w:rsidP="0054721A">
      <w:pPr>
        <w:pStyle w:val="BodyPara"/>
      </w:pPr>
      <w:r>
        <w:rPr>
          <w:szCs w:val="24"/>
        </w:rPr>
        <w:t xml:space="preserve">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w:t>
      </w:r>
      <w:proofErr w:type="spellStart"/>
      <w:r>
        <w:rPr>
          <w:szCs w:val="24"/>
        </w:rPr>
        <w:t>operationalises</w:t>
      </w:r>
      <w:proofErr w:type="spellEnd"/>
      <w:r>
        <w:rPr>
          <w:szCs w:val="24"/>
        </w:rPr>
        <w:t xml:space="preserve"> these constructs, showing that education, advisory access, and credit access materially shift the adoption decision (</w:t>
      </w:r>
      <w:proofErr w:type="spellStart"/>
      <w:r>
        <w:rPr>
          <w:szCs w:val="24"/>
        </w:rPr>
        <w:t>Carrer</w:t>
      </w:r>
      <w:proofErr w:type="spellEnd"/>
      <w:r>
        <w:rPr>
          <w:szCs w:val="24"/>
        </w:rPr>
        <w:t xml:space="preserve"> et al., 2017). Innovation Systems Theory further </w:t>
      </w:r>
      <w:proofErr w:type="spellStart"/>
      <w:r>
        <w:rPr>
          <w:szCs w:val="24"/>
        </w:rPr>
        <w:t>emphasises</w:t>
      </w:r>
      <w:proofErr w:type="spellEnd"/>
      <w:r>
        <w:rPr>
          <w:szCs w:val="24"/>
        </w:rPr>
        <w:t xml:space="preserve"> that successful digital transformation requires robust collaboration among technology providers, agricultural practitioners, advisory services, and policymakers.</w:t>
      </w:r>
    </w:p>
    <w:p w:rsidR="0054721A" w:rsidRDefault="008A0666">
      <w:pPr>
        <w:pStyle w:val="H3"/>
      </w:pPr>
      <w:bookmarkStart w:id="24" w:name="_Toc238053086"/>
      <w:bookmarkStart w:id="25" w:name="_Toc238621377"/>
      <w:r>
        <w:rPr>
          <w:bCs/>
          <w:szCs w:val="24"/>
        </w:rPr>
        <w:t>2.2.2 The Theory of Bounded Rationality</w:t>
      </w:r>
      <w:bookmarkEnd w:id="24"/>
      <w:bookmarkEnd w:id="25"/>
    </w:p>
    <w:p w:rsidR="0054721A" w:rsidRDefault="008A0666" w:rsidP="0054721A">
      <w:pPr>
        <w:pStyle w:val="BodyPara"/>
      </w:pPr>
      <w:r>
        <w:rPr>
          <w:szCs w:val="24"/>
        </w:rPr>
        <w:t xml:space="preserve">Traditional agricultural economics often relies on “rational choice” theory, assuming farmers always act to </w:t>
      </w:r>
      <w:proofErr w:type="spellStart"/>
      <w:r>
        <w:rPr>
          <w:szCs w:val="24"/>
        </w:rPr>
        <w:t>maximise</w:t>
      </w:r>
      <w:proofErr w:type="spellEnd"/>
      <w:r>
        <w:rPr>
          <w:szCs w:val="24"/>
        </w:rPr>
        <w:t xml:space="preserv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w:t>
      </w:r>
      <w:proofErr w:type="spellStart"/>
      <w:r>
        <w:rPr>
          <w:szCs w:val="24"/>
        </w:rPr>
        <w:t>synthesised</w:t>
      </w:r>
      <w:proofErr w:type="spellEnd"/>
      <w:r>
        <w:rPr>
          <w:szCs w:val="24"/>
        </w:rPr>
        <w:t>, clear options rather than overwhelming them with raw, unprocessed big data—a design principle directly reflected in the AGRI-PROFIT decision-support layer.</w:t>
      </w:r>
    </w:p>
    <w:p w:rsidR="0054721A" w:rsidRDefault="008A0666">
      <w:pPr>
        <w:pStyle w:val="H3"/>
      </w:pPr>
      <w:bookmarkStart w:id="26" w:name="_Toc238053087"/>
      <w:bookmarkStart w:id="27" w:name="_Toc238621378"/>
      <w:r>
        <w:rPr>
          <w:bCs/>
          <w:szCs w:val="24"/>
        </w:rPr>
        <w:lastRenderedPageBreak/>
        <w:t>2.2.3 Socio-Technical Systems Perspective</w:t>
      </w:r>
      <w:bookmarkEnd w:id="26"/>
      <w:bookmarkEnd w:id="27"/>
    </w:p>
    <w:p w:rsidR="0054721A" w:rsidRDefault="008A0666" w:rsidP="0054721A">
      <w:pPr>
        <w:pStyle w:val="BodyPara"/>
      </w:pPr>
      <w:r>
        <w:rPr>
          <w:szCs w:val="24"/>
        </w:rPr>
        <w:t xml:space="preserve">From a socio-technical perspective, </w:t>
      </w:r>
      <w:proofErr w:type="spellStart"/>
      <w:r>
        <w:rPr>
          <w:szCs w:val="24"/>
        </w:rPr>
        <w:t>digitalisation</w:t>
      </w:r>
      <w:proofErr w:type="spellEnd"/>
      <w:r>
        <w:rPr>
          <w:szCs w:val="24"/>
        </w:rPr>
        <w:t xml:space="preserve"> fundamentally alters </w:t>
      </w:r>
      <w:proofErr w:type="spellStart"/>
      <w:r>
        <w:rPr>
          <w:szCs w:val="24"/>
        </w:rPr>
        <w:t>organisational</w:t>
      </w:r>
      <w:proofErr w:type="spellEnd"/>
      <w:r>
        <w:rPr>
          <w:szCs w:val="24"/>
        </w:rPr>
        <w:t xml:space="preserve">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 xml:space="preserve">directly constrain the successful integration of digital platforms (Mhlanga &amp; </w:t>
      </w:r>
      <w:proofErr w:type="spellStart"/>
      <w:r>
        <w:rPr>
          <w:szCs w:val="24"/>
        </w:rPr>
        <w:t>Ndhlovu</w:t>
      </w:r>
      <w:proofErr w:type="spellEnd"/>
      <w:r>
        <w:rPr>
          <w:szCs w:val="24"/>
        </w:rPr>
        <w:t>, 2023). Thus, engineering a farm-management platform requires addressing both the technical architecture and the social realities of the target demographic.</w:t>
      </w:r>
    </w:p>
    <w:p w:rsidR="0054721A" w:rsidRDefault="008A0666">
      <w:pPr>
        <w:pStyle w:val="H2"/>
      </w:pPr>
      <w:bookmarkStart w:id="28" w:name="_Toc238053088"/>
      <w:bookmarkStart w:id="29" w:name="_Toc238621379"/>
      <w:r>
        <w:rPr>
          <w:bCs/>
          <w:szCs w:val="24"/>
        </w:rPr>
        <w:t>2.3 The Nigerian Context: Precision Agriculture and Mobile Scaling</w:t>
      </w:r>
      <w:bookmarkEnd w:id="28"/>
      <w:bookmarkEnd w:id="29"/>
    </w:p>
    <w:p w:rsidR="0054721A" w:rsidRDefault="008A0666" w:rsidP="0054721A">
      <w:pPr>
        <w:pStyle w:val="BodyPara"/>
      </w:pPr>
      <w:r>
        <w:rPr>
          <w:szCs w:val="24"/>
        </w:rPr>
        <w:t xml:space="preserve">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w:t>
      </w:r>
      <w:proofErr w:type="spellStart"/>
      <w:r>
        <w:rPr>
          <w:szCs w:val="24"/>
        </w:rPr>
        <w:t>Ndhlovu</w:t>
      </w:r>
      <w:proofErr w:type="spellEnd"/>
      <w:r>
        <w:rPr>
          <w:szCs w:val="24"/>
        </w:rPr>
        <w:t>,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w:t>
      </w:r>
      <w:proofErr w:type="spellStart"/>
      <w:r>
        <w:rPr>
          <w:szCs w:val="24"/>
        </w:rPr>
        <w:t>agritech</w:t>
      </w:r>
      <w:proofErr w:type="spellEnd"/>
      <w:r>
        <w:rPr>
          <w:szCs w:val="24"/>
        </w:rPr>
        <w:t xml:space="preserve">. To mitigate these realities, </w:t>
      </w:r>
      <w:proofErr w:type="spellStart"/>
      <w:r>
        <w:rPr>
          <w:szCs w:val="24"/>
        </w:rPr>
        <w:t>localised</w:t>
      </w:r>
      <w:proofErr w:type="spellEnd"/>
      <w:r>
        <w:rPr>
          <w:szCs w:val="24"/>
        </w:rPr>
        <w:t xml:space="preserve"> deployment strategies must </w:t>
      </w:r>
      <w:proofErr w:type="spellStart"/>
      <w:r>
        <w:rPr>
          <w:szCs w:val="24"/>
        </w:rPr>
        <w:t>prioritise</w:t>
      </w:r>
      <w:proofErr w:type="spellEnd"/>
      <w:r>
        <w:rPr>
          <w:szCs w:val="24"/>
        </w:rPr>
        <w:t xml:space="preserve"> mobile-first, low-bandwidth software integrated with off-grid or solar-powered infrastructure. </w:t>
      </w:r>
      <w:r>
        <w:rPr>
          <w:szCs w:val="24"/>
        </w:rPr>
        <w:lastRenderedPageBreak/>
        <w:t xml:space="preserve">Furthermore, national integration policies such as the Food and Agriculture Organization’s (FAO) Digital Village Initiative (DVI) in Nigeria champion </w:t>
      </w:r>
      <w:proofErr w:type="spellStart"/>
      <w:r>
        <w:rPr>
          <w:szCs w:val="24"/>
        </w:rPr>
        <w:t>centralised</w:t>
      </w:r>
      <w:proofErr w:type="spellEnd"/>
      <w:r>
        <w:rPr>
          <w:szCs w:val="24"/>
        </w:rPr>
        <w:t>, ecosystem co-creation platforms to eliminate middlemen and specifically attract youth involvement through digital innovation.</w:t>
      </w:r>
    </w:p>
    <w:p w:rsidR="0054721A" w:rsidRDefault="008A0666">
      <w:pPr>
        <w:pStyle w:val="H2"/>
      </w:pPr>
      <w:bookmarkStart w:id="30" w:name="_Toc238053089"/>
      <w:bookmarkStart w:id="31" w:name="_Toc238621380"/>
      <w:r>
        <w:rPr>
          <w:bCs/>
          <w:szCs w:val="24"/>
        </w:rPr>
        <w:t>2.4 Empirical Review and Socio-Technical Barriers to Adoption</w:t>
      </w:r>
      <w:bookmarkEnd w:id="30"/>
      <w:bookmarkEnd w:id="31"/>
    </w:p>
    <w:p w:rsidR="0054721A" w:rsidRDefault="008A0666">
      <w:pPr>
        <w:pStyle w:val="H3"/>
      </w:pPr>
      <w:bookmarkStart w:id="32" w:name="_Toc238053090"/>
      <w:bookmarkStart w:id="33" w:name="_Toc238621381"/>
      <w:r>
        <w:rPr>
          <w:bCs/>
          <w:szCs w:val="24"/>
        </w:rPr>
        <w:t>2.4.1 Review of Existing Systems</w:t>
      </w:r>
      <w:bookmarkEnd w:id="32"/>
      <w:bookmarkEnd w:id="33"/>
    </w:p>
    <w:p w:rsidR="0054721A" w:rsidRDefault="008A0666" w:rsidP="0054721A">
      <w:pPr>
        <w:pStyle w:val="BodyPara"/>
      </w:pPr>
      <w:r>
        <w:rPr>
          <w:szCs w:val="24"/>
        </w:rPr>
        <w:t>Existing literature thoroughly documents the evolution of FMIS and Enterprise Resource Planning (ERP) systems (</w:t>
      </w:r>
      <w:proofErr w:type="spellStart"/>
      <w:r>
        <w:rPr>
          <w:szCs w:val="24"/>
        </w:rPr>
        <w:t>Fountas</w:t>
      </w:r>
      <w:proofErr w:type="spellEnd"/>
      <w:r>
        <w:rPr>
          <w:szCs w:val="24"/>
        </w:rPr>
        <w:t xml:space="preserve"> et al., 2015). Currently, commercial ERP software effectively handles internal payroll, invoicing, and supply-chain logistics, but such systems predominantly target large-scale, highly </w:t>
      </w:r>
      <w:proofErr w:type="spellStart"/>
      <w:r>
        <w:rPr>
          <w:szCs w:val="24"/>
        </w:rPr>
        <w:t>capitalised</w:t>
      </w:r>
      <w:proofErr w:type="spellEnd"/>
      <w:r>
        <w:rPr>
          <w:szCs w:val="24"/>
        </w:rPr>
        <w:t xml:space="preserve"> commercial farms (</w:t>
      </w:r>
      <w:proofErr w:type="spellStart"/>
      <w:r>
        <w:rPr>
          <w:szCs w:val="24"/>
        </w:rPr>
        <w:t>Carrer</w:t>
      </w:r>
      <w:proofErr w:type="spellEnd"/>
      <w:r>
        <w:rPr>
          <w:szCs w:val="24"/>
        </w:rPr>
        <w:t xml:space="preserve">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4" w:name="_Toc238053091"/>
      <w:bookmarkStart w:id="35" w:name="_Toc238621382"/>
      <w:r>
        <w:rPr>
          <w:bCs/>
          <w:szCs w:val="24"/>
        </w:rPr>
        <w:t>2.4.2 Socio-Technical Barriers to Adoption</w:t>
      </w:r>
      <w:bookmarkEnd w:id="34"/>
      <w:bookmarkEnd w:id="35"/>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 xml:space="preserve">A primary technical roadblock is the absence of </w:t>
      </w:r>
      <w:proofErr w:type="spellStart"/>
      <w:r>
        <w:rPr>
          <w:szCs w:val="24"/>
        </w:rPr>
        <w:t>standardised</w:t>
      </w:r>
      <w:proofErr w:type="spellEnd"/>
      <w:r>
        <w:rPr>
          <w:szCs w:val="24"/>
        </w:rPr>
        <w:t xml:space="preserve"> data-exchange protocols among heterogeneous agricultural devices and software. Because current platforms operate as isolated silos, farmers face difficulties transferring data between applications, which severely restricts scalability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w:t>
      </w:r>
      <w:proofErr w:type="spellStart"/>
      <w:r>
        <w:rPr>
          <w:szCs w:val="24"/>
        </w:rPr>
        <w:t>Poppe</w:t>
      </w:r>
      <w:proofErr w:type="spellEnd"/>
      <w:r>
        <w:rPr>
          <w:szCs w:val="24"/>
        </w:rPr>
        <w:t xml:space="preserve"> et al., 2023).</w:t>
      </w:r>
    </w:p>
    <w:p w:rsidR="0054721A" w:rsidRDefault="008A0666" w:rsidP="0054721A">
      <w:pPr>
        <w:pStyle w:val="ListItem"/>
        <w:tabs>
          <w:tab w:val="left" w:pos="864"/>
        </w:tabs>
      </w:pPr>
      <w:r>
        <w:rPr>
          <w:szCs w:val="24"/>
        </w:rPr>
        <w:t>(c)</w:t>
      </w:r>
      <w:r>
        <w:rPr>
          <w:szCs w:val="24"/>
        </w:rPr>
        <w:tab/>
        <w:t xml:space="preserve">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w:t>
      </w:r>
      <w:proofErr w:type="spellStart"/>
      <w:r>
        <w:rPr>
          <w:szCs w:val="24"/>
        </w:rPr>
        <w:t>Ndhlovu</w:t>
      </w:r>
      <w:proofErr w:type="spellEnd"/>
      <w:r>
        <w:rPr>
          <w:szCs w:val="24"/>
        </w:rPr>
        <w:t>, 2023).</w:t>
      </w:r>
    </w:p>
    <w:p w:rsidR="0054721A" w:rsidRDefault="008A0666" w:rsidP="0054721A">
      <w:pPr>
        <w:pStyle w:val="ListItem"/>
        <w:tabs>
          <w:tab w:val="left" w:pos="864"/>
        </w:tabs>
      </w:pPr>
      <w:r>
        <w:rPr>
          <w:szCs w:val="24"/>
        </w:rPr>
        <w:t>(d)</w:t>
      </w:r>
      <w:r>
        <w:rPr>
          <w:szCs w:val="24"/>
        </w:rPr>
        <w:tab/>
        <w:t xml:space="preserve">Infrastructural and Economic Constraints: High initial capital costs, unstable electricity, and limited internet connectivity in rural areas render many existing commercial FMIS platforms impractical for resource-constrained smallholders (Mhlanga &amp; </w:t>
      </w:r>
      <w:proofErr w:type="spellStart"/>
      <w:r>
        <w:rPr>
          <w:szCs w:val="24"/>
        </w:rPr>
        <w:t>Ndhlovu</w:t>
      </w:r>
      <w:proofErr w:type="spellEnd"/>
      <w:r>
        <w:rPr>
          <w:szCs w:val="24"/>
        </w:rPr>
        <w:t>, 2023).</w:t>
      </w:r>
    </w:p>
    <w:p w:rsidR="0054721A" w:rsidRDefault="008A0666">
      <w:pPr>
        <w:pStyle w:val="H2"/>
      </w:pPr>
      <w:bookmarkStart w:id="36" w:name="_Toc238053092"/>
      <w:bookmarkStart w:id="37" w:name="_Toc238621383"/>
      <w:r>
        <w:rPr>
          <w:bCs/>
          <w:szCs w:val="24"/>
        </w:rPr>
        <w:t>2.5 Data-Sharing and Stakeholder Trust</w:t>
      </w:r>
      <w:bookmarkEnd w:id="36"/>
      <w:bookmarkEnd w:id="37"/>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To overcome this, modern architectures increasingly integrate </w:t>
      </w:r>
      <w:proofErr w:type="spellStart"/>
      <w:r>
        <w:rPr>
          <w:szCs w:val="24"/>
        </w:rPr>
        <w:t>blockchain</w:t>
      </w:r>
      <w:proofErr w:type="spellEnd"/>
      <w:r>
        <w:rPr>
          <w:szCs w:val="24"/>
        </w:rPr>
        <w:t xml:space="preserve"> technology as a secure data-governance mechanism (</w:t>
      </w:r>
      <w:proofErr w:type="spellStart"/>
      <w:r>
        <w:rPr>
          <w:szCs w:val="24"/>
        </w:rPr>
        <w:t>Xiong</w:t>
      </w:r>
      <w:proofErr w:type="spellEnd"/>
      <w:r>
        <w:rPr>
          <w:szCs w:val="24"/>
        </w:rPr>
        <w:t xml:space="preserve"> et al., 2020). </w:t>
      </w:r>
      <w:proofErr w:type="spellStart"/>
      <w:r>
        <w:rPr>
          <w:szCs w:val="24"/>
        </w:rPr>
        <w:t>Blockchain</w:t>
      </w:r>
      <w:proofErr w:type="spellEnd"/>
      <w:r>
        <w:rPr>
          <w:szCs w:val="24"/>
        </w:rPr>
        <w:t xml:space="preserve"> </w:t>
      </w:r>
      <w:proofErr w:type="spellStart"/>
      <w:r>
        <w:rPr>
          <w:szCs w:val="24"/>
        </w:rPr>
        <w:t>utilises</w:t>
      </w:r>
      <w:proofErr w:type="spellEnd"/>
      <w:r>
        <w:rPr>
          <w:szCs w:val="24"/>
        </w:rPr>
        <w:t xml:space="preserve"> an immutable, distributed digital ledger to store yield data, </w:t>
      </w:r>
      <w:proofErr w:type="spellStart"/>
      <w:r>
        <w:rPr>
          <w:szCs w:val="24"/>
        </w:rPr>
        <w:t>mechanisation</w:t>
      </w:r>
      <w:proofErr w:type="spellEnd"/>
      <w:r>
        <w:rPr>
          <w:szCs w:val="24"/>
        </w:rPr>
        <w:t xml:space="preserve">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w:t>
      </w:r>
      <w:proofErr w:type="spellStart"/>
      <w:r>
        <w:rPr>
          <w:szCs w:val="24"/>
        </w:rPr>
        <w:t>Xiong</w:t>
      </w:r>
      <w:proofErr w:type="spellEnd"/>
      <w:r>
        <w:rPr>
          <w:szCs w:val="24"/>
        </w:rPr>
        <w:t xml:space="preserve"> et al., 2020). Within the scope of the present study, however, AGRI-PROFIT </w:t>
      </w:r>
      <w:proofErr w:type="spellStart"/>
      <w:r>
        <w:rPr>
          <w:szCs w:val="24"/>
        </w:rPr>
        <w:t>operationalises</w:t>
      </w:r>
      <w:proofErr w:type="spellEnd"/>
      <w:r>
        <w:rPr>
          <w:szCs w:val="24"/>
        </w:rPr>
        <w:t xml:space="preserve"> this trust requirement through a more immediately deployable mechanism: authenticated, access-controlled,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A per-farm data boundary restricts each enterprise’s records to its owner, while read-only, time-limited views expose </w:t>
      </w:r>
      <w:proofErr w:type="spellStart"/>
      <w:r>
        <w:rPr>
          <w:szCs w:val="24"/>
        </w:rPr>
        <w:t>standardised</w:t>
      </w:r>
      <w:proofErr w:type="spellEnd"/>
      <w:r>
        <w:rPr>
          <w:szCs w:val="24"/>
        </w:rPr>
        <w:t xml:space="preserve">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8" w:name="_Toc238053093"/>
      <w:bookmarkStart w:id="39" w:name="_Toc238621384"/>
      <w:r>
        <w:rPr>
          <w:bCs/>
          <w:szCs w:val="24"/>
        </w:rPr>
        <w:t>2.6 Structuring the Decision-Support Prediction Model for AGRI-PROFIT</w:t>
      </w:r>
      <w:bookmarkEnd w:id="38"/>
      <w:bookmarkEnd w:id="39"/>
    </w:p>
    <w:p w:rsidR="0054721A" w:rsidRDefault="008A0666" w:rsidP="0054721A">
      <w:pPr>
        <w:pStyle w:val="BodyPara"/>
      </w:pPr>
      <w:r>
        <w:rPr>
          <w:szCs w:val="24"/>
        </w:rPr>
        <w:t xml:space="preserve">Building on the conceptual review of decision-support systems (Section 2.1.2), this section establishes the methodological structure that AGRI-PROFIT will follow to convert unified operational and financial records into predictive decision support. The structure is </w:t>
      </w:r>
      <w:proofErr w:type="spellStart"/>
      <w:r>
        <w:rPr>
          <w:szCs w:val="24"/>
        </w:rPr>
        <w:t>organised</w:t>
      </w:r>
      <w:proofErr w:type="spellEnd"/>
      <w:r>
        <w:rPr>
          <w:szCs w:val="24"/>
        </w:rPr>
        <w:t xml:space="preserve"> as a layered pipeline, deliberately progressing from lightweight deterministic logic to optional data-driven models so that the platform remains viable on accessible mobile processors and under intermittent connectivity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pPr>
        <w:pStyle w:val="H3"/>
      </w:pPr>
      <w:bookmarkStart w:id="40" w:name="_Toc238053094"/>
      <w:bookmarkStart w:id="41" w:name="_Toc238621385"/>
      <w:r>
        <w:rPr>
          <w:bCs/>
          <w:szCs w:val="24"/>
        </w:rPr>
        <w:t>2.6.1 Data Layer and Feature Definition</w:t>
      </w:r>
      <w:bookmarkEnd w:id="40"/>
      <w:bookmarkEnd w:id="41"/>
    </w:p>
    <w:p w:rsidR="0054721A" w:rsidRDefault="008A0666" w:rsidP="0054721A">
      <w:pPr>
        <w:pStyle w:val="BodyPara"/>
      </w:pPr>
      <w:r>
        <w:rPr>
          <w:szCs w:val="24"/>
        </w:rPr>
        <w:t xml:space="preserve">The prediction pipeline begins with the unified data layer that distinguishes AGRI-PROFIT from </w:t>
      </w:r>
      <w:proofErr w:type="spellStart"/>
      <w:r>
        <w:rPr>
          <w:szCs w:val="24"/>
        </w:rPr>
        <w:t>siloed</w:t>
      </w:r>
      <w:proofErr w:type="spellEnd"/>
      <w:r>
        <w:rPr>
          <w:szCs w:val="24"/>
        </w:rPr>
        <w:t xml:space="preserve"> systems. Operational records (planting and harvest dates, input applications, </w:t>
      </w:r>
      <w:proofErr w:type="spellStart"/>
      <w:r>
        <w:rPr>
          <w:szCs w:val="24"/>
        </w:rPr>
        <w:t>labour</w:t>
      </w:r>
      <w:proofErr w:type="spellEnd"/>
      <w:r>
        <w:rPr>
          <w:szCs w:val="24"/>
        </w:rPr>
        <w:t xml:space="preserve"> hours, </w:t>
      </w:r>
      <w:proofErr w:type="spellStart"/>
      <w:r>
        <w:rPr>
          <w:szCs w:val="24"/>
        </w:rPr>
        <w:t>mechanisation</w:t>
      </w:r>
      <w:proofErr w:type="spellEnd"/>
      <w:r>
        <w:rPr>
          <w:szCs w:val="24"/>
        </w:rPr>
        <w:t xml:space="preserve">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 xml:space="preserve">rather than maintained as isolated ledgers. This pairing, enforced at the write layer, is what allows operational activity and its financial consequence to be </w:t>
      </w:r>
      <w:proofErr w:type="spellStart"/>
      <w:r>
        <w:rPr>
          <w:szCs w:val="24"/>
        </w:rPr>
        <w:t>analysed</w:t>
      </w:r>
      <w:proofErr w:type="spellEnd"/>
      <w:r>
        <w:rPr>
          <w:szCs w:val="24"/>
        </w:rPr>
        <w:t xml:space="preserve">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 xml:space="preserve">rainfall, </w:t>
      </w:r>
      <w:proofErr w:type="spellStart"/>
      <w:r>
        <w:rPr>
          <w:szCs w:val="24"/>
        </w:rPr>
        <w:t>fertiliser</w:t>
      </w:r>
      <w:proofErr w:type="spellEnd"/>
      <w:r>
        <w:rPr>
          <w:szCs w:val="24"/>
        </w:rPr>
        <w:t xml:space="preserve"> applied and soil </w:t>
      </w:r>
      <w:proofErr w:type="spellStart"/>
      <w:r>
        <w:rPr>
          <w:szCs w:val="24"/>
        </w:rPr>
        <w:t>pH.</w:t>
      </w:r>
      <w:proofErr w:type="spellEnd"/>
      <w:r>
        <w:rPr>
          <w:szCs w:val="24"/>
        </w:rPr>
        <w:t xml:space="preserve"> A wider feature set is specified here as the intended direction of the data layer rather than as a delivered one: cultivated area, season, machine-hours, </w:t>
      </w:r>
      <w:proofErr w:type="spellStart"/>
      <w:r>
        <w:rPr>
          <w:szCs w:val="24"/>
        </w:rPr>
        <w:t>labour</w:t>
      </w:r>
      <w:proofErr w:type="spellEnd"/>
      <w:r>
        <w:rPr>
          <w:szCs w:val="24"/>
        </w:rPr>
        <w:t>-hours,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2" w:name="_Toc238053095"/>
      <w:bookmarkStart w:id="43" w:name="_Toc238621386"/>
      <w:r>
        <w:rPr>
          <w:bCs/>
          <w:szCs w:val="24"/>
        </w:rPr>
        <w:t>2.6.2 Data Pre-processing</w:t>
      </w:r>
      <w:bookmarkEnd w:id="42"/>
      <w:bookmarkEnd w:id="43"/>
    </w:p>
    <w:p w:rsidR="0054721A" w:rsidRDefault="008A0666" w:rsidP="0054721A">
      <w:pPr>
        <w:pStyle w:val="BodyPara"/>
      </w:pPr>
      <w:r>
        <w:rPr>
          <w:szCs w:val="24"/>
        </w:rPr>
        <w:t xml:space="preserve">Because smallholder records are typically sparse and inconsistent, a pre-processing stage is essential before any model is trained or applied. This stage handles missing values through imputation, </w:t>
      </w:r>
      <w:proofErr w:type="spellStart"/>
      <w:r>
        <w:rPr>
          <w:szCs w:val="24"/>
        </w:rPr>
        <w:t>harmonises</w:t>
      </w:r>
      <w:proofErr w:type="spellEnd"/>
      <w:r>
        <w:rPr>
          <w:szCs w:val="24"/>
        </w:rPr>
        <w:t xml:space="preserve"> units and date intervals, removes obvious outliers, and </w:t>
      </w:r>
      <w:proofErr w:type="spellStart"/>
      <w:r>
        <w:rPr>
          <w:szCs w:val="24"/>
        </w:rPr>
        <w:t>normalises</w:t>
      </w:r>
      <w:proofErr w:type="spellEnd"/>
      <w:r>
        <w:rPr>
          <w:szCs w:val="24"/>
        </w:rPr>
        <w:t xml:space="preserve"> numeric ranges. </w:t>
      </w:r>
      <w:proofErr w:type="spellStart"/>
      <w:r>
        <w:rPr>
          <w:szCs w:val="24"/>
        </w:rPr>
        <w:t>Olisah</w:t>
      </w:r>
      <w:proofErr w:type="spellEnd"/>
      <w:r>
        <w:rPr>
          <w:szCs w:val="24"/>
        </w:rPr>
        <w:t xml:space="preserve">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4" w:name="_Toc238053096"/>
      <w:bookmarkStart w:id="45" w:name="_Toc238621387"/>
      <w:r>
        <w:rPr>
          <w:bCs/>
          <w:szCs w:val="24"/>
        </w:rPr>
        <w:t>2.6.3 A Tiered Modelling Strategy</w:t>
      </w:r>
      <w:bookmarkEnd w:id="44"/>
      <w:bookmarkEnd w:id="45"/>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 xml:space="preserve">Once sufficient historical records accumulate, multiple linear or </w:t>
      </w:r>
      <w:proofErr w:type="spellStart"/>
      <w:r>
        <w:rPr>
          <w:szCs w:val="24"/>
        </w:rPr>
        <w:t>regularised</w:t>
      </w:r>
      <w:proofErr w:type="spellEnd"/>
      <w:r>
        <w:rPr>
          <w:szCs w:val="24"/>
        </w:rPr>
        <w:t xml:space="preserve">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Tier 3 – Lightweight machine learning (optional, server-assisted). Where data volume permits, tree-based ensembles such as Random Forest and Extreme Gradient Boosting (</w:t>
      </w:r>
      <w:proofErr w:type="spellStart"/>
      <w:r>
        <w:rPr>
          <w:szCs w:val="24"/>
        </w:rPr>
        <w:t>XGBoost</w:t>
      </w:r>
      <w:proofErr w:type="spellEnd"/>
      <w:r>
        <w:rPr>
          <w:szCs w:val="24"/>
        </w:rPr>
        <w:t xml:space="preserve">) are indicated, as they consistently achieve strong accuracy on tabular agricultural data at far lower computational cost than deep </w:t>
      </w:r>
      <w:r>
        <w:rPr>
          <w:szCs w:val="24"/>
        </w:rPr>
        <w:lastRenderedPageBreak/>
        <w:t xml:space="preserve">neural networks (van </w:t>
      </w:r>
      <w:proofErr w:type="spellStart"/>
      <w:r>
        <w:rPr>
          <w:szCs w:val="24"/>
        </w:rPr>
        <w:t>Klompenburg</w:t>
      </w:r>
      <w:proofErr w:type="spellEnd"/>
      <w:r>
        <w:rPr>
          <w:szCs w:val="24"/>
        </w:rPr>
        <w:t xml:space="preserve"> et al., 2020). The counter-case must be stated: for a Nigerian corn-yield decision-support task, </w:t>
      </w:r>
      <w:proofErr w:type="spellStart"/>
      <w:r>
        <w:rPr>
          <w:szCs w:val="24"/>
        </w:rPr>
        <w:t>Olisah</w:t>
      </w:r>
      <w:proofErr w:type="spellEnd"/>
      <w:r>
        <w:rPr>
          <w:szCs w:val="24"/>
        </w:rPr>
        <w:t xml:space="preserve"> et al. (2024) report that a carefully tuned deep neural network </w:t>
      </w:r>
      <w:proofErr w:type="spellStart"/>
      <w:r>
        <w:rPr>
          <w:szCs w:val="24"/>
        </w:rPr>
        <w:t>regressor</w:t>
      </w:r>
      <w:proofErr w:type="spellEnd"/>
      <w:r>
        <w:rPr>
          <w:szCs w:val="24"/>
        </w:rPr>
        <w:t xml:space="preserve">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 xml:space="preserve">This progression describes a general methodological ladder drawn from the literature. The AGRI-PROFIT platform </w:t>
      </w:r>
      <w:proofErr w:type="spellStart"/>
      <w:r>
        <w:rPr>
          <w:szCs w:val="24"/>
        </w:rPr>
        <w:t>realises</w:t>
      </w:r>
      <w:proofErr w:type="spellEnd"/>
      <w:r>
        <w:rPr>
          <w:szCs w:val="24"/>
        </w:rPr>
        <w:t xml:space="preserve">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6" w:name="_Toc238053097"/>
      <w:bookmarkStart w:id="47" w:name="_Toc238621388"/>
      <w:r>
        <w:rPr>
          <w:bCs/>
          <w:szCs w:val="24"/>
        </w:rPr>
        <w:t>2.6.4 Model Training, Validation, and Evaluation Metrics</w:t>
      </w:r>
      <w:bookmarkEnd w:id="46"/>
      <w:bookmarkEnd w:id="47"/>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w:t>
      </w:r>
      <w:proofErr w:type="spellStart"/>
      <w:r>
        <w:rPr>
          <w:szCs w:val="24"/>
        </w:rPr>
        <w:t>Klompenburg</w:t>
      </w:r>
      <w:proofErr w:type="spellEnd"/>
      <w:r>
        <w:rPr>
          <w:szCs w:val="24"/>
        </w:rPr>
        <w:t xml:space="preserve"> et al., 2020). In the current implementation, continuous predictions (yield) are evaluated using the coefficient of determination (R²) and the Mean Absolute Error (MAE); the Root Mean Square Error (RMSE) is a standard complementary measure for such tasks and is additionally reported, and </w:t>
      </w:r>
      <w:proofErr w:type="spellStart"/>
      <w:r>
        <w:rPr>
          <w:szCs w:val="24"/>
        </w:rPr>
        <w:t>Olisah</w:t>
      </w:r>
      <w:proofErr w:type="spellEnd"/>
      <w:r>
        <w:rPr>
          <w:szCs w:val="24"/>
        </w:rPr>
        <w:t xml:space="preserve">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8" w:name="_Toc238053098"/>
      <w:bookmarkStart w:id="49" w:name="_Toc238621389"/>
      <w:r>
        <w:rPr>
          <w:bCs/>
          <w:szCs w:val="24"/>
        </w:rPr>
        <w:t xml:space="preserve">2.6.5 </w:t>
      </w:r>
      <w:proofErr w:type="gramStart"/>
      <w:r w:rsidR="00376534">
        <w:rPr>
          <w:bCs/>
          <w:szCs w:val="24"/>
        </w:rPr>
        <w:t>From</w:t>
      </w:r>
      <w:proofErr w:type="gramEnd"/>
      <w:r>
        <w:rPr>
          <w:bCs/>
          <w:szCs w:val="24"/>
        </w:rPr>
        <w:t xml:space="preserve"> Prediction to Decision Support</w:t>
      </w:r>
      <w:bookmarkEnd w:id="48"/>
      <w:bookmarkEnd w:id="49"/>
    </w:p>
    <w:p w:rsidR="0054721A" w:rsidRDefault="008A0666" w:rsidP="0054721A">
      <w:pPr>
        <w:pStyle w:val="BodyPara"/>
      </w:pPr>
      <w:r>
        <w:rPr>
          <w:szCs w:val="24"/>
        </w:rPr>
        <w:t xml:space="preserve">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w:t>
      </w:r>
      <w:proofErr w:type="spellStart"/>
      <w:r>
        <w:rPr>
          <w:szCs w:val="24"/>
        </w:rPr>
        <w:t>standardised</w:t>
      </w:r>
      <w:proofErr w:type="spellEnd"/>
      <w:r>
        <w:rPr>
          <w:szCs w:val="24"/>
        </w:rPr>
        <w:t xml:space="preserve"> outputs feed the trusted data-sharing layer described in Section 2.5 (</w:t>
      </w:r>
      <w:proofErr w:type="spellStart"/>
      <w:r>
        <w:rPr>
          <w:szCs w:val="24"/>
        </w:rPr>
        <w:t>Xiong</w:t>
      </w:r>
      <w:proofErr w:type="spellEnd"/>
      <w:r>
        <w:rPr>
          <w:szCs w:val="24"/>
        </w:rPr>
        <w:t xml:space="preserve"> et al., 2020). Deployment remains mobile-first and low-bandwidth: the deterministic tier requires no training data and runs on modest server hosting, with results delivered to the mobile client, while the optional forecast tier likewise runs server-side and its outputs are </w:t>
      </w:r>
      <w:proofErr w:type="spellStart"/>
      <w:r>
        <w:rPr>
          <w:szCs w:val="24"/>
        </w:rPr>
        <w:t>synchronised</w:t>
      </w:r>
      <w:proofErr w:type="spellEnd"/>
      <w:r>
        <w:rPr>
          <w:szCs w:val="24"/>
        </w:rPr>
        <w:t xml:space="preserve"> when connectivity is available (Mhlanga &amp; </w:t>
      </w:r>
      <w:proofErr w:type="spellStart"/>
      <w:r>
        <w:rPr>
          <w:szCs w:val="24"/>
        </w:rPr>
        <w:t>Ndhlovu</w:t>
      </w:r>
      <w:proofErr w:type="spellEnd"/>
      <w:r>
        <w:rPr>
          <w:szCs w:val="24"/>
        </w:rPr>
        <w:t>,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 xml:space="preserve">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w:t>
      </w:r>
      <w:proofErr w:type="spellStart"/>
      <w:r>
        <w:t>n.d.</w:t>
      </w:r>
      <w:proofErr w:type="spellEnd"/>
      <w:r>
        <w:t>). Drying is therefore not an optional refinement but the operation that determines whether a harvest survives to be sold.</w:t>
      </w:r>
    </w:p>
    <w:p w:rsidR="0054721A" w:rsidRDefault="008A0666" w:rsidP="0054721A">
      <w:pPr>
        <w:pStyle w:val="BodyPara"/>
      </w:pPr>
      <w:r>
        <w:t xml:space="preserve">The kinetics of that operation are conventionally described by thin-layer models, which express the dimensionless moisture ratio of a product as a function of drying time. Three are long established and remain the reference forms. The Newton, or Lewis, model, MR = </w:t>
      </w:r>
      <w:proofErr w:type="spellStart"/>
      <w:proofErr w:type="gramStart"/>
      <w:r>
        <w:t>exp</w:t>
      </w:r>
      <w:proofErr w:type="spellEnd"/>
      <w:r>
        <w:t>(</w:t>
      </w:r>
      <w:proofErr w:type="gramEnd"/>
      <w:r>
        <w:t>−</w:t>
      </w:r>
      <w:proofErr w:type="spellStart"/>
      <w:r>
        <w:t>kt</w:t>
      </w:r>
      <w:proofErr w:type="spellEnd"/>
      <w:r>
        <w:t xml:space="preserve">), treats drying as a first-order process governed by a single rate constant (Lewis, 1921). The Page model, MR = </w:t>
      </w:r>
      <w:proofErr w:type="spellStart"/>
      <w:proofErr w:type="gramStart"/>
      <w:r>
        <w:t>exp</w:t>
      </w:r>
      <w:proofErr w:type="spellEnd"/>
      <w:r>
        <w:t>(</w:t>
      </w:r>
      <w:proofErr w:type="gramEnd"/>
      <w:r>
        <w:t>−</w:t>
      </w:r>
      <w:proofErr w:type="spellStart"/>
      <w:r>
        <w:t>k·t</w:t>
      </w:r>
      <w:proofErr w:type="spellEnd"/>
      <w:r>
        <w:t xml:space="preserve">ⁿ), introduces an empirical exponent that accommodates the deviation from first-order </w:t>
      </w:r>
      <w:proofErr w:type="spellStart"/>
      <w:r>
        <w:t>behaviour</w:t>
      </w:r>
      <w:proofErr w:type="spellEnd"/>
      <w:r>
        <w:t xml:space="preserve"> observed in most biological materials (Page, 1949). The Henderson and </w:t>
      </w:r>
      <w:proofErr w:type="spellStart"/>
      <w:r>
        <w:t>Pabis</w:t>
      </w:r>
      <w:proofErr w:type="spellEnd"/>
      <w:r>
        <w:t xml:space="preserve"> model adds a pre-exponential coefficient derived from the first term of the analytical solution to Fick’s second law (Henderson &amp; </w:t>
      </w:r>
      <w:proofErr w:type="spellStart"/>
      <w:r>
        <w:t>Pabis</w:t>
      </w:r>
      <w:proofErr w:type="spellEnd"/>
      <w:r>
        <w:t xml:space="preserve">, 1961). </w:t>
      </w:r>
      <w:proofErr w:type="spellStart"/>
      <w:r>
        <w:t>Onwude</w:t>
      </w:r>
      <w:proofErr w:type="spellEnd"/>
      <w:r>
        <w:t xml:space="preserve"> et al. (2016), in a review of thin-layer modelling of fruits and vegetables, find that semi-theoretical forms of this kind dominate the applied literature precisely because they are fitted from a small number of time-and-mass observations that a practitioner can actually take, and </w:t>
      </w:r>
      <w:proofErr w:type="spellStart"/>
      <w:r>
        <w:t>Erbay</w:t>
      </w:r>
      <w:proofErr w:type="spellEnd"/>
      <w:r>
        <w:t xml:space="preserve"> and Icier (2010) reach the same conclusion for foods generally. Model parameters are recovered by regression on a </w:t>
      </w:r>
      <w:proofErr w:type="spellStart"/>
      <w:r>
        <w:t>linearising</w:t>
      </w:r>
      <w:proofErr w:type="spellEnd"/>
      <w:r>
        <w:t xml:space="preserve"> transform — for the Page model, the double logarithm </w:t>
      </w:r>
      <w:proofErr w:type="gramStart"/>
      <w:r>
        <w:t>ln(</w:t>
      </w:r>
      <w:proofErr w:type="gramEnd"/>
      <w:r>
        <w:t xml:space="preserve">−ln MR) = ln k + </w:t>
      </w:r>
      <w:proofErr w:type="spellStart"/>
      <w:r>
        <w:t>n·ln</w:t>
      </w:r>
      <w:proofErr w:type="spellEnd"/>
      <w:r>
        <w:t xml:space="preserve"> t — which makes the fit reproducible and </w:t>
      </w:r>
      <w:proofErr w:type="spellStart"/>
      <w:r>
        <w:t>inspectable</w:t>
      </w:r>
      <w:proofErr w:type="spellEnd"/>
      <w:r>
        <w:t xml:space="preserve"> rather than opaque.</w:t>
      </w:r>
    </w:p>
    <w:p w:rsidR="0054721A" w:rsidRDefault="008A0666" w:rsidP="0054721A">
      <w:pPr>
        <w:pStyle w:val="BodyPara"/>
      </w:pPr>
      <w:r>
        <w:lastRenderedPageBreak/>
        <w:t>The moisture ratio on which these models operate is conventionally defined as MR = (M − Me)</w:t>
      </w:r>
      <w:proofErr w:type="gramStart"/>
      <w:r>
        <w:t>/(</w:t>
      </w:r>
      <w:proofErr w:type="gramEnd"/>
      <w:r>
        <w:t xml:space="preserve">M0 − Me), where M is the moisture content at time t, M0 the initial moisture content and Me the equilibrium moisture content — the value at which the produce is in balance with the water </w:t>
      </w:r>
      <w:proofErr w:type="spellStart"/>
      <w:r>
        <w:t>vapour</w:t>
      </w:r>
      <w:proofErr w:type="spellEnd"/>
      <w:r>
        <w:t xml:space="preserve"> in the surrounding air, and which varies with both relative humidity and temperature (FAO, 1988; </w:t>
      </w:r>
      <w:proofErr w:type="spellStart"/>
      <w:r>
        <w:t>Onwude</w:t>
      </w:r>
      <w:proofErr w:type="spellEnd"/>
      <w:r>
        <w:t xml:space="preserve"> et al., 2016). The present implementation neglects </w:t>
      </w:r>
      <w:proofErr w:type="gramStart"/>
      <w:r>
        <w:t>Me</w:t>
      </w:r>
      <w:proofErr w:type="gramEnd"/>
      <w:r>
        <w:t xml:space="preserv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 xml:space="preserve">while the upper bound is biological: a moisture content above which </w:t>
      </w:r>
      <w:proofErr w:type="spellStart"/>
      <w:r>
        <w:t>mould</w:t>
      </w:r>
      <w:proofErr w:type="spellEnd"/>
      <w:r>
        <w:t xml:space="preserve">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proofErr w:type="spellStart"/>
      <w:r>
        <w:t>Baidhe</w:t>
      </w:r>
      <w:proofErr w:type="spellEnd"/>
      <w:r>
        <w:t xml:space="preserv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w:t>
      </w:r>
      <w:proofErr w:type="spellStart"/>
      <w:r>
        <w:t>behaviour</w:t>
      </w:r>
      <w:proofErr w:type="spellEnd"/>
      <w:r>
        <w:t xml:space="preserve">,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0" w:name="_Toc238053099"/>
      <w:bookmarkStart w:id="51" w:name="_Toc238621390"/>
      <w:r>
        <w:rPr>
          <w:bCs/>
          <w:szCs w:val="24"/>
        </w:rPr>
        <w:t>2.8 Gap in Literature</w:t>
      </w:r>
      <w:bookmarkEnd w:id="50"/>
      <w:bookmarkEnd w:id="51"/>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w:t>
      </w:r>
      <w:proofErr w:type="spellStart"/>
      <w:r>
        <w:rPr>
          <w:szCs w:val="24"/>
        </w:rPr>
        <w:t>Carrer</w:t>
      </w:r>
      <w:proofErr w:type="spellEnd"/>
      <w:r>
        <w:rPr>
          <w:szCs w:val="24"/>
        </w:rPr>
        <w:t xml:space="preserve"> et al., 2017; </w:t>
      </w:r>
      <w:proofErr w:type="spellStart"/>
      <w:r>
        <w:rPr>
          <w:szCs w:val="24"/>
        </w:rPr>
        <w:t>Fountas</w:t>
      </w:r>
      <w:proofErr w:type="spellEnd"/>
      <w:r>
        <w:rPr>
          <w:szCs w:val="24"/>
        </w:rPr>
        <w:t xml:space="preserve"> et al., 2015). Consequently, there is a severe lack of lightweight, </w:t>
      </w:r>
      <w:proofErr w:type="spellStart"/>
      <w:r>
        <w:rPr>
          <w:szCs w:val="24"/>
        </w:rPr>
        <w:t>localised</w:t>
      </w:r>
      <w:proofErr w:type="spellEnd"/>
      <w:r>
        <w:rPr>
          <w:szCs w:val="24"/>
        </w:rPr>
        <w:t xml:space="preserve"> frameworks tailored specifically for the socio-technical and infrastructural realities of Nigerian agriculture, which remains dominated by smallholders and medium-scale enterprises facing distinct infrastructural deficits (Mhlanga &amp; </w:t>
      </w:r>
      <w:proofErr w:type="spellStart"/>
      <w:r>
        <w:rPr>
          <w:szCs w:val="24"/>
        </w:rPr>
        <w:t>Ndhlovu</w:t>
      </w:r>
      <w:proofErr w:type="spellEnd"/>
      <w:r>
        <w:rPr>
          <w:szCs w:val="24"/>
        </w:rPr>
        <w:t>, 2023).</w:t>
      </w:r>
    </w:p>
    <w:p w:rsidR="0054721A" w:rsidRDefault="008A0666">
      <w:pPr>
        <w:pStyle w:val="BodyPara"/>
      </w:pPr>
      <w:r>
        <w:rPr>
          <w:szCs w:val="24"/>
        </w:rPr>
        <w:t>Furthermore, while studies acknowledge the chronic problem of data fragmentation between agricultural operations and financial accounting (</w:t>
      </w:r>
      <w:proofErr w:type="spellStart"/>
      <w:r>
        <w:rPr>
          <w:szCs w:val="24"/>
        </w:rPr>
        <w:t>Poppe</w:t>
      </w:r>
      <w:proofErr w:type="spellEnd"/>
      <w:r>
        <w:rPr>
          <w:szCs w:val="24"/>
        </w:rPr>
        <w:t xml:space="preserve"> et al., 2023), there is a critical scarcity of conceptual system architectures that successfully integrate these disparate data streams within a low-bandwidth, mobile-first platform and convert them </w:t>
      </w:r>
      <w:r>
        <w:rPr>
          <w:szCs w:val="24"/>
        </w:rPr>
        <w:lastRenderedPageBreak/>
        <w:t xml:space="preserve">into appropriately lightweight predictive decision support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Finally, current tools focus almost exclusively on internal farm management, neglecting the macro-economic necessity of secure data-shari</w:t>
      </w:r>
      <w:r w:rsidR="00376534">
        <w:rPr>
          <w:szCs w:val="24"/>
        </w:rPr>
        <w:t xml:space="preserve">ng protocols such as </w:t>
      </w:r>
      <w:proofErr w:type="spellStart"/>
      <w:r w:rsidR="00376534">
        <w:rPr>
          <w:szCs w:val="24"/>
        </w:rPr>
        <w:t>blockchain</w:t>
      </w:r>
      <w:proofErr w:type="spellEnd"/>
      <w:r w:rsidR="00376534">
        <w:rPr>
          <w:szCs w:val="24"/>
        </w:rPr>
        <w:t xml:space="preserve"> </w:t>
      </w:r>
      <w:r>
        <w:rPr>
          <w:szCs w:val="24"/>
        </w:rPr>
        <w:t>to build operational trust with agricultural banks and investors (</w:t>
      </w:r>
      <w:proofErr w:type="spellStart"/>
      <w:r>
        <w:rPr>
          <w:szCs w:val="24"/>
        </w:rPr>
        <w:t>Xiong</w:t>
      </w:r>
      <w:proofErr w:type="spellEnd"/>
      <w:r>
        <w:rPr>
          <w:szCs w:val="24"/>
        </w:rPr>
        <w:t xml:space="preserve">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w:t>
      </w:r>
      <w:proofErr w:type="spellStart"/>
      <w:r>
        <w:rPr>
          <w:szCs w:val="24"/>
        </w:rPr>
        <w:t>Onwude</w:t>
      </w:r>
      <w:proofErr w:type="spellEnd"/>
      <w:r>
        <w:rPr>
          <w:szCs w:val="24"/>
        </w:rPr>
        <w:t xml:space="preserve"> et al., 2016; </w:t>
      </w:r>
      <w:proofErr w:type="spellStart"/>
      <w:r>
        <w:rPr>
          <w:szCs w:val="24"/>
        </w:rPr>
        <w:t>Baidhe</w:t>
      </w:r>
      <w:proofErr w:type="spellEnd"/>
      <w:r>
        <w:rPr>
          <w:szCs w:val="24"/>
        </w:rPr>
        <w:t xml:space="preserv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2" w:name="_Toc238621391"/>
      <w:r>
        <w:rPr>
          <w:szCs w:val="28"/>
        </w:rPr>
        <w:lastRenderedPageBreak/>
        <w:t>CHAPTER THREE</w:t>
      </w:r>
      <w:bookmarkEnd w:id="52"/>
    </w:p>
    <w:p w:rsidR="009C29EC" w:rsidRDefault="008A0666">
      <w:pPr>
        <w:pStyle w:val="ChapterTitle"/>
      </w:pPr>
      <w:bookmarkStart w:id="53" w:name="_Toc238621392"/>
      <w:r>
        <w:rPr>
          <w:szCs w:val="28"/>
        </w:rPr>
        <w:t>3.0</w:t>
      </w:r>
      <w:r w:rsidR="00376534">
        <w:rPr>
          <w:szCs w:val="28"/>
        </w:rPr>
        <w:t> SYSTEM</w:t>
      </w:r>
      <w:r>
        <w:rPr>
          <w:szCs w:val="28"/>
        </w:rPr>
        <w:t xml:space="preserve"> DESIGN AND METHODOLOGY</w:t>
      </w:r>
      <w:bookmarkEnd w:id="53"/>
    </w:p>
    <w:p w:rsidR="0054721A" w:rsidRDefault="008A0666">
      <w:pPr>
        <w:pStyle w:val="H2"/>
      </w:pPr>
      <w:bookmarkStart w:id="54" w:name="_Toc238053101"/>
      <w:bookmarkStart w:id="55" w:name="_Toc238621393"/>
      <w:r>
        <w:rPr>
          <w:bCs/>
          <w:szCs w:val="24"/>
        </w:rPr>
        <w:t>3.1 Introduction</w:t>
      </w:r>
      <w:bookmarkEnd w:id="54"/>
      <w:bookmarkEnd w:id="55"/>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w:t>
      </w:r>
      <w:r w:rsidR="002745B4">
        <w:rPr>
          <w:szCs w:val="24"/>
        </w:rPr>
        <w:t xml:space="preserve">et architecture of the platform </w:t>
      </w:r>
      <w:r>
        <w:rPr>
          <w:szCs w:val="24"/>
        </w:rPr>
        <w:t>that is, the compl</w:t>
      </w:r>
      <w:r w:rsidR="002745B4">
        <w:rPr>
          <w:szCs w:val="24"/>
        </w:rPr>
        <w:t xml:space="preserve">ete system the design specifies </w:t>
      </w:r>
      <w:r>
        <w:rPr>
          <w:szCs w:val="24"/>
        </w:rPr>
        <w:t>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 xml:space="preserve">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w:t>
      </w:r>
      <w:proofErr w:type="spellStart"/>
      <w:r>
        <w:rPr>
          <w:szCs w:val="24"/>
        </w:rPr>
        <w:t>tokenised</w:t>
      </w:r>
      <w:proofErr w:type="spellEnd"/>
      <w:r>
        <w:rPr>
          <w:szCs w:val="24"/>
        </w:rPr>
        <w:t xml:space="preserve"> stakeholder-reporting mechanism. Objective 4 (evaluation of usability, cost-effectiveness, and viability) is addressed through the multi-strand evaluation methodology presented in Section 3.8.</w:t>
      </w:r>
    </w:p>
    <w:p w:rsidR="0054721A" w:rsidRDefault="008A0666">
      <w:pPr>
        <w:pStyle w:val="H2"/>
      </w:pPr>
      <w:bookmarkStart w:id="56" w:name="_Toc238053102"/>
      <w:bookmarkStart w:id="57" w:name="_Toc238621394"/>
      <w:r>
        <w:rPr>
          <w:bCs/>
          <w:szCs w:val="24"/>
        </w:rPr>
        <w:t>3.2 Research and Development Methodology</w:t>
      </w:r>
      <w:bookmarkEnd w:id="56"/>
      <w:bookmarkEnd w:id="57"/>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w:t>
      </w:r>
      <w:proofErr w:type="spellStart"/>
      <w:r>
        <w:rPr>
          <w:szCs w:val="24"/>
        </w:rPr>
        <w:t>Git</w:t>
      </w:r>
      <w:proofErr w:type="spellEnd"/>
      <w:r>
        <w:rPr>
          <w:szCs w:val="24"/>
        </w:rPr>
        <w: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8" w:name="_Toc238053103"/>
      <w:bookmarkStart w:id="59" w:name="_Toc238621395"/>
      <w:r>
        <w:rPr>
          <w:bCs/>
          <w:szCs w:val="24"/>
        </w:rPr>
        <w:t>3.3 System Requirements Analysis</w:t>
      </w:r>
      <w:bookmarkEnd w:id="58"/>
      <w:bookmarkEnd w:id="59"/>
    </w:p>
    <w:p w:rsidR="0054721A" w:rsidRDefault="008A0666" w:rsidP="0054721A">
      <w:pPr>
        <w:pStyle w:val="BodyPara"/>
      </w:pPr>
      <w:r>
        <w:rPr>
          <w:szCs w:val="24"/>
        </w:rPr>
        <w:t xml:space="preserve">Requirements were derived from the problem analysis in Chapters One and Two and </w:t>
      </w:r>
      <w:proofErr w:type="spellStart"/>
      <w:r>
        <w:rPr>
          <w:szCs w:val="24"/>
        </w:rPr>
        <w:t>organised</w:t>
      </w:r>
      <w:proofErr w:type="spellEnd"/>
      <w:r>
        <w:rPr>
          <w:szCs w:val="24"/>
        </w:rPr>
        <w:t xml:space="preserve">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0" w:name="_Toc238053104"/>
      <w:bookmarkStart w:id="61" w:name="_Toc238621396"/>
      <w:r>
        <w:rPr>
          <w:bCs/>
          <w:szCs w:val="24"/>
        </w:rPr>
        <w:t>3.3.1 Functional Requirements</w:t>
      </w:r>
      <w:bookmarkEnd w:id="60"/>
      <w:bookmarkEnd w:id="61"/>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 xml:space="preserve">from real records; classify recorded cost by economic </w:t>
      </w:r>
      <w:proofErr w:type="spellStart"/>
      <w:r>
        <w:rPr>
          <w:szCs w:val="24"/>
        </w:rPr>
        <w:t>behaviour</w:t>
      </w:r>
      <w:proofErr w:type="spellEnd"/>
      <w:r>
        <w:rPr>
          <w:szCs w:val="24"/>
        </w:rPr>
        <w:t xml:space="preserve">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w:t>
      </w:r>
      <w:proofErr w:type="spellStart"/>
      <w:r>
        <w:rPr>
          <w:szCs w:val="24"/>
        </w:rPr>
        <w:t>authorise</w:t>
      </w:r>
      <w:proofErr w:type="spellEnd"/>
      <w:r>
        <w:rPr>
          <w:szCs w:val="24"/>
        </w:rPr>
        <w:t xml:space="preserve"> each request against a named permission, and confine each user’s data to their own farm; and allow a farmer to grant a bank or investor a revocable, expiring, read-only view of </w:t>
      </w:r>
      <w:proofErr w:type="spellStart"/>
      <w:r>
        <w:rPr>
          <w:szCs w:val="24"/>
        </w:rPr>
        <w:t>standardised</w:t>
      </w:r>
      <w:proofErr w:type="spellEnd"/>
      <w:r>
        <w:rPr>
          <w:szCs w:val="24"/>
        </w:rPr>
        <w:t xml:space="preserve"> reports.</w:t>
      </w:r>
    </w:p>
    <w:p w:rsidR="0054721A" w:rsidRDefault="008A0666">
      <w:pPr>
        <w:pStyle w:val="H3"/>
      </w:pPr>
      <w:bookmarkStart w:id="62" w:name="_Toc238053105"/>
      <w:bookmarkStart w:id="63" w:name="_Toc238621397"/>
      <w:r>
        <w:rPr>
          <w:bCs/>
          <w:szCs w:val="24"/>
        </w:rPr>
        <w:t>3.3.2 Non-Functional Requirements</w:t>
      </w:r>
      <w:bookmarkEnd w:id="62"/>
      <w:bookmarkEnd w:id="63"/>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w:t>
      </w:r>
      <w:proofErr w:type="spellStart"/>
      <w:r>
        <w:rPr>
          <w:szCs w:val="24"/>
        </w:rPr>
        <w:t>synchronised</w:t>
      </w:r>
      <w:proofErr w:type="spellEnd"/>
      <w:r>
        <w:rPr>
          <w:szCs w:val="24"/>
        </w:rPr>
        <w:t>,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4" w:name="_Toc238053106"/>
      <w:bookmarkStart w:id="65" w:name="_Toc238621398"/>
      <w:r>
        <w:rPr>
          <w:bCs/>
          <w:szCs w:val="24"/>
        </w:rPr>
        <w:t>3.4 System Architecture</w:t>
      </w:r>
      <w:bookmarkEnd w:id="64"/>
      <w:bookmarkEnd w:id="65"/>
    </w:p>
    <w:p w:rsidR="0054721A" w:rsidRDefault="008A0666">
      <w:pPr>
        <w:pStyle w:val="H3"/>
      </w:pPr>
      <w:bookmarkStart w:id="66" w:name="_Toc238053107"/>
      <w:bookmarkStart w:id="67" w:name="_Toc238621399"/>
      <w:r>
        <w:rPr>
          <w:bCs/>
          <w:szCs w:val="24"/>
        </w:rPr>
        <w:t>3.4.1 Overall Architecture</w:t>
      </w:r>
      <w:bookmarkEnd w:id="66"/>
      <w:bookmarkEnd w:id="67"/>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8" w:name="_Toc238053108"/>
      <w:bookmarkStart w:id="69" w:name="_Toc238621400"/>
      <w:r>
        <w:rPr>
          <w:bCs/>
          <w:szCs w:val="24"/>
        </w:rPr>
        <w:t>3.4.2 Technology Stack</w:t>
      </w:r>
      <w:bookmarkEnd w:id="68"/>
      <w:bookmarkEnd w:id="69"/>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 xml:space="preserve">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w:t>
      </w:r>
      <w:proofErr w:type="spellStart"/>
      <w:r>
        <w:rPr>
          <w:szCs w:val="24"/>
        </w:rPr>
        <w:t>favour</w:t>
      </w:r>
      <w:proofErr w:type="spellEnd"/>
      <w:r>
        <w:rPr>
          <w:szCs w:val="24"/>
        </w:rPr>
        <w:t xml:space="preserve"> a small deployment footprint suitable for modest, low-cost hosting, in keeping with the cost-effectiveness objective.</w:t>
      </w:r>
    </w:p>
    <w:p w:rsidR="0054721A" w:rsidRDefault="008A0666">
      <w:pPr>
        <w:pStyle w:val="H2"/>
      </w:pPr>
      <w:bookmarkStart w:id="70" w:name="_Toc238053109"/>
      <w:bookmarkStart w:id="71" w:name="_Toc238621401"/>
      <w:r>
        <w:rPr>
          <w:bCs/>
          <w:szCs w:val="24"/>
        </w:rPr>
        <w:t>3.5 Data Model Design</w:t>
      </w:r>
      <w:bookmarkEnd w:id="70"/>
      <w:bookmarkEnd w:id="71"/>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 xml:space="preserve">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w:t>
      </w:r>
      <w:proofErr w:type="spellStart"/>
      <w:r>
        <w:rPr>
          <w:szCs w:val="24"/>
        </w:rPr>
        <w:t>analysed</w:t>
      </w:r>
      <w:proofErr w:type="spellEnd"/>
      <w:r>
        <w:rPr>
          <w:szCs w:val="24"/>
        </w:rPr>
        <w:t xml:space="preserve"> together, and it is the structural foundation on which the decision-support tier depends.</w:t>
      </w:r>
    </w:p>
    <w:p w:rsidR="0054721A" w:rsidRDefault="008A0666">
      <w:pPr>
        <w:pStyle w:val="BodyPara"/>
      </w:pPr>
      <w:r>
        <w:rPr>
          <w:szCs w:val="24"/>
        </w:rPr>
        <w:t xml:space="preserve">The principal entities of the data model are </w:t>
      </w:r>
      <w:proofErr w:type="spellStart"/>
      <w:r>
        <w:rPr>
          <w:szCs w:val="24"/>
        </w:rPr>
        <w:t>summarised</w:t>
      </w:r>
      <w:proofErr w:type="spellEnd"/>
      <w:r>
        <w:rPr>
          <w:szCs w:val="24"/>
        </w:rPr>
        <w:t xml:space="preserve"> in Table D.1 of Appendix D, and their relationships are shown in Figure 3.2. Two features of that diagram carry the design argument of this section: the one-to-one edge between </w:t>
      </w:r>
      <w:proofErr w:type="spellStart"/>
      <w:r>
        <w:rPr>
          <w:szCs w:val="24"/>
        </w:rPr>
        <w:t>OperationalLog</w:t>
      </w:r>
      <w:proofErr w:type="spellEnd"/>
      <w:r>
        <w:rPr>
          <w:szCs w:val="24"/>
        </w:rPr>
        <w:t xml:space="preserve"> and </w:t>
      </w:r>
      <w:proofErr w:type="spellStart"/>
      <w:r>
        <w:rPr>
          <w:szCs w:val="24"/>
        </w:rPr>
        <w:t>FinancialTransaction</w:t>
      </w:r>
      <w:proofErr w:type="spellEnd"/>
      <w:r>
        <w:rPr>
          <w:szCs w:val="24"/>
        </w:rPr>
        <w:t xml:space="preserve">, which is enforced at the write layer rather than by a database constraint, and the self-reference on </w:t>
      </w:r>
      <w:proofErr w:type="spellStart"/>
      <w:r>
        <w:rPr>
          <w:szCs w:val="24"/>
        </w:rPr>
        <w:t>FinancialTransaction</w:t>
      </w:r>
      <w:proofErr w:type="spellEnd"/>
      <w:r>
        <w:rPr>
          <w:szCs w:val="24"/>
        </w:rPr>
        <w:t xml:space="preserve">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2" w:name="_Toc238053110"/>
      <w:bookmarkStart w:id="73" w:name="_Toc238621402"/>
      <w:r>
        <w:rPr>
          <w:bCs/>
          <w:szCs w:val="24"/>
        </w:rPr>
        <w:t>3.6 Module Design</w:t>
      </w:r>
      <w:bookmarkEnd w:id="72"/>
      <w:bookmarkEnd w:id="73"/>
    </w:p>
    <w:p w:rsidR="0054721A" w:rsidRDefault="008A0666" w:rsidP="0054721A">
      <w:pPr>
        <w:pStyle w:val="BodyPara"/>
      </w:pPr>
      <w:r>
        <w:rPr>
          <w:szCs w:val="24"/>
        </w:rPr>
        <w:t xml:space="preserve">The platform is </w:t>
      </w:r>
      <w:proofErr w:type="spellStart"/>
      <w:r>
        <w:rPr>
          <w:szCs w:val="24"/>
        </w:rPr>
        <w:t>organised</w:t>
      </w:r>
      <w:proofErr w:type="spellEnd"/>
      <w:r>
        <w:rPr>
          <w:szCs w:val="24"/>
        </w:rPr>
        <w:t xml:space="preserve"> into cohesive modules, each with a defined responsibility. The design of each is described below; where a module is partially </w:t>
      </w:r>
      <w:proofErr w:type="spellStart"/>
      <w:r>
        <w:rPr>
          <w:szCs w:val="24"/>
        </w:rPr>
        <w:t>realised</w:t>
      </w:r>
      <w:proofErr w:type="spellEnd"/>
      <w:r>
        <w:rPr>
          <w:szCs w:val="24"/>
        </w:rPr>
        <w:t xml:space="preserve"> in the current release, the boundary between built and deferred </w:t>
      </w:r>
      <w:proofErr w:type="spellStart"/>
      <w:r>
        <w:rPr>
          <w:szCs w:val="24"/>
        </w:rPr>
        <w:t>behaviour</w:t>
      </w:r>
      <w:proofErr w:type="spellEnd"/>
      <w:r>
        <w:rPr>
          <w:szCs w:val="24"/>
        </w:rPr>
        <w:t xml:space="preserve"> is stated explicitly.</w:t>
      </w:r>
    </w:p>
    <w:p w:rsidR="0054721A" w:rsidRDefault="008A0666">
      <w:pPr>
        <w:pStyle w:val="H3"/>
      </w:pPr>
      <w:bookmarkStart w:id="74" w:name="_Toc238053111"/>
      <w:bookmarkStart w:id="75" w:name="_Toc238621403"/>
      <w:r>
        <w:rPr>
          <w:bCs/>
          <w:szCs w:val="24"/>
        </w:rPr>
        <w:t>3.6.1 Offline Operational Logbook</w:t>
      </w:r>
      <w:bookmarkEnd w:id="74"/>
      <w:bookmarkEnd w:id="75"/>
    </w:p>
    <w:p w:rsidR="0054721A" w:rsidRDefault="008A0666" w:rsidP="0054721A">
      <w:pPr>
        <w:pStyle w:val="BodyPara"/>
      </w:pPr>
      <w:r>
        <w:rPr>
          <w:szCs w:val="24"/>
        </w:rPr>
        <w:t xml:space="preserve">This module handles data entry for operations, yields, and post-harvest drying runs. To satisfy the offline-capture requirement, records entered without connectivity are queued in a local browser database and </w:t>
      </w:r>
      <w:proofErr w:type="spellStart"/>
      <w:r>
        <w:rPr>
          <w:szCs w:val="24"/>
        </w:rPr>
        <w:t>synchronised</w:t>
      </w:r>
      <w:proofErr w:type="spellEnd"/>
      <w:r>
        <w:rPr>
          <w:szCs w:val="24"/>
        </w:rPr>
        <w:t xml:space="preserve"> to the backend when a connection is restored. </w:t>
      </w:r>
      <w:proofErr w:type="spellStart"/>
      <w:r>
        <w:rPr>
          <w:szCs w:val="24"/>
        </w:rPr>
        <w:t>Synchronisation</w:t>
      </w:r>
      <w:proofErr w:type="spellEnd"/>
      <w:r>
        <w:rPr>
          <w:szCs w:val="24"/>
        </w:rPr>
        <w:t xml:space="preserve">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 xml:space="preserve">another’s session. Offline reading is also implemented, and is described here as built rather than as planned: a service worker </w:t>
      </w:r>
      <w:proofErr w:type="spellStart"/>
      <w:r>
        <w:rPr>
          <w:szCs w:val="24"/>
        </w:rPr>
        <w:t>precaches</w:t>
      </w:r>
      <w:proofErr w:type="spellEnd"/>
      <w:r>
        <w:rPr>
          <w:szCs w:val="24"/>
        </w:rPr>
        <w:t xml:space="preserve">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6" w:name="_Toc238053112"/>
      <w:bookmarkStart w:id="77" w:name="_Toc238621404"/>
      <w:r>
        <w:rPr>
          <w:bCs/>
          <w:szCs w:val="24"/>
        </w:rPr>
        <w:t>3.6.2 Financial Ledger Engine</w:t>
      </w:r>
      <w:bookmarkEnd w:id="76"/>
      <w:bookmarkEnd w:id="77"/>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lastRenderedPageBreak/>
        <w:t xml:space="preserve">Figure 3.3 traces a single record creation through the module. The property the sequence exists to make </w:t>
      </w:r>
      <w:proofErr w:type="spellStart"/>
      <w:r>
        <w:t>inspectable</w:t>
      </w:r>
      <w:proofErr w:type="spellEnd"/>
      <w:r>
        <w:t xml:space="preserve"> is that both rows are written inside one database 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8" w:name="_Toc238053113"/>
      <w:bookmarkStart w:id="79" w:name="_Toc238621405"/>
      <w:r>
        <w:rPr>
          <w:bCs/>
          <w:szCs w:val="24"/>
        </w:rPr>
        <w:t>3.6.3 Reporting</w:t>
      </w:r>
      <w:bookmarkEnd w:id="78"/>
      <w:bookmarkEnd w:id="79"/>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 xml:space="preserve">and produces a </w:t>
      </w:r>
      <w:proofErr w:type="spellStart"/>
      <w:r>
        <w:rPr>
          <w:szCs w:val="24"/>
        </w:rPr>
        <w:t>standardised</w:t>
      </w:r>
      <w:proofErr w:type="spellEnd"/>
      <w:r>
        <w:rPr>
          <w:szCs w:val="24"/>
        </w:rPr>
        <w:t xml:space="preserve"> export in comma-separated-values (CSV) format. CSV is the only export format implemented; no PDF or spreadsheet export exists, and none is claimed. This export provides the </w:t>
      </w:r>
      <w:proofErr w:type="spellStart"/>
      <w:r>
        <w:rPr>
          <w:szCs w:val="24"/>
        </w:rPr>
        <w:t>standardised</w:t>
      </w:r>
      <w:proofErr w:type="spellEnd"/>
      <w:r>
        <w:rPr>
          <w:szCs w:val="24"/>
        </w:rPr>
        <w:t>-reporting basis on which the stakeholder-sharing mechanism (Section 3.6.7) is built.</w:t>
      </w:r>
    </w:p>
    <w:p w:rsidR="0054721A" w:rsidRDefault="008A0666">
      <w:pPr>
        <w:pStyle w:val="H3"/>
      </w:pPr>
      <w:bookmarkStart w:id="80" w:name="_Toc238053114"/>
      <w:bookmarkStart w:id="81" w:name="_Toc238621406"/>
      <w:r>
        <w:rPr>
          <w:bCs/>
          <w:szCs w:val="24"/>
        </w:rPr>
        <w:t xml:space="preserve">3.6.4 </w:t>
      </w:r>
      <w:proofErr w:type="spellStart"/>
      <w:r>
        <w:rPr>
          <w:bCs/>
          <w:szCs w:val="24"/>
        </w:rPr>
        <w:t>Mechanisation</w:t>
      </w:r>
      <w:proofErr w:type="spellEnd"/>
      <w:r>
        <w:rPr>
          <w:bCs/>
          <w:szCs w:val="24"/>
        </w:rPr>
        <w:t xml:space="preserve"> and Equipment Tracker</w:t>
      </w:r>
      <w:bookmarkEnd w:id="80"/>
      <w:bookmarkEnd w:id="81"/>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w:t>
      </w:r>
      <w:proofErr w:type="spellStart"/>
      <w:r>
        <w:rPr>
          <w:szCs w:val="24"/>
        </w:rPr>
        <w:lastRenderedPageBreak/>
        <w:t>mechanisation</w:t>
      </w:r>
      <w:proofErr w:type="spellEnd"/>
      <w:r>
        <w:rPr>
          <w:szCs w:val="24"/>
        </w:rPr>
        <w:t xml:space="preserve"> usage and fuel as operational entries tagged with the </w:t>
      </w:r>
      <w:proofErr w:type="spellStart"/>
      <w:r>
        <w:rPr>
          <w:szCs w:val="24"/>
        </w:rPr>
        <w:t>mechanisation</w:t>
      </w:r>
      <w:proofErr w:type="spellEnd"/>
      <w:r>
        <w:rPr>
          <w:szCs w:val="24"/>
        </w:rPr>
        <w:t xml:space="preserve"> activity category, so that machinery costs are captured within the ledger alongside other 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 xml:space="preserve">and a break-even price </w:t>
      </w:r>
      <w:r>
        <w:rPr>
          <w:szCs w:val="24"/>
        </w:rPr>
        <w:lastRenderedPageBreak/>
        <w:t>quoted from a derived window should be pinned by specifying the period explicitly if it is to be held to.</w:t>
      </w:r>
    </w:p>
    <w:p w:rsidR="0054721A" w:rsidRDefault="008A0666" w:rsidP="0054721A">
      <w:pPr>
        <w:pStyle w:val="BodyPara"/>
      </w:pPr>
      <w:r>
        <w:rPr>
          <w:szCs w:val="24"/>
        </w:rPr>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 xml:space="preserve">A per-operation association between an individual activity and a specific equipment item, together with the hours that item was used, is captured and validated at the point of entry but is consumed by no service: the platform produces no machine-hour, </w:t>
      </w:r>
      <w:proofErr w:type="spellStart"/>
      <w:r>
        <w:rPr>
          <w:szCs w:val="24"/>
        </w:rPr>
        <w:t>utilisation</w:t>
      </w:r>
      <w:proofErr w:type="spellEnd"/>
      <w:r>
        <w:rPr>
          <w:szCs w:val="24"/>
        </w:rPr>
        <w:t xml:space="preserve">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2" w:name="_Toc238053115"/>
      <w:bookmarkStart w:id="83" w:name="_Toc238621407"/>
      <w:r>
        <w:rPr>
          <w:bCs/>
          <w:szCs w:val="24"/>
        </w:rPr>
        <w:lastRenderedPageBreak/>
        <w:t>3.6.5 Predictive Decision-Support Engine</w:t>
      </w:r>
      <w:bookmarkEnd w:id="82"/>
      <w:bookmarkEnd w:id="83"/>
    </w:p>
    <w:p w:rsidR="0054721A" w:rsidRDefault="008A0666" w:rsidP="0054721A">
      <w:pPr>
        <w:pStyle w:val="BodyPara"/>
      </w:pPr>
      <w:r>
        <w:rPr>
          <w:szCs w:val="24"/>
        </w:rPr>
        <w:t xml:space="preserve">The decision-support engine follows a two-tier design that deliberately aligns model complexity with available data and device capability, </w:t>
      </w:r>
      <w:proofErr w:type="spellStart"/>
      <w:r>
        <w:rPr>
          <w:szCs w:val="24"/>
        </w:rPr>
        <w:t>realising</w:t>
      </w:r>
      <w:proofErr w:type="spellEnd"/>
      <w:r>
        <w:rPr>
          <w:szCs w:val="24"/>
        </w:rPr>
        <w:t xml:space="preserve"> the first and third rungs of the ladder set out in Section 2.6.3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rsidP="0054721A">
      <w:pPr>
        <w:pStyle w:val="ListItem"/>
        <w:tabs>
          <w:tab w:val="left" w:pos="864"/>
        </w:tabs>
      </w:pPr>
      <w:r>
        <w:rPr>
          <w:szCs w:val="24"/>
        </w:rPr>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Pr="00D5112B" w:rsidRDefault="008A0666" w:rsidP="0054721A">
      <w:pPr>
        <w:pStyle w:val="ListItem"/>
        <w:tabs>
          <w:tab w:val="left" w:pos="864"/>
        </w:tabs>
      </w:pPr>
      <w:r>
        <w:rPr>
          <w:szCs w:val="24"/>
        </w:rPr>
        <w:t>(b)</w:t>
      </w:r>
      <w:r>
        <w:rPr>
          <w:szCs w:val="24"/>
        </w:rPr>
        <w:tab/>
      </w:r>
      <w:r>
        <w:rPr>
          <w:b/>
          <w:bCs/>
          <w:szCs w:val="24"/>
        </w:rPr>
        <w:t xml:space="preserve">Tier 3 – Statistical yield forecast (optional). </w:t>
      </w:r>
      <w:r w:rsidRPr="00D5112B">
        <w:rPr>
          <w:bCs/>
          <w:szCs w:val="24"/>
        </w:rPr>
        <w:t xml:space="preserve">A Random Forest </w:t>
      </w:r>
      <w:proofErr w:type="spellStart"/>
      <w:r w:rsidRPr="00D5112B">
        <w:rPr>
          <w:bCs/>
          <w:szCs w:val="24"/>
        </w:rPr>
        <w:t>regressor</w:t>
      </w:r>
      <w:proofErr w:type="spellEnd"/>
      <w:r w:rsidRPr="00D5112B">
        <w:rPr>
          <w:bCs/>
          <w:szCs w:val="24"/>
        </w:rPr>
        <w:t xml:space="preserve"> produces a yield estimate from agronomic inputs such as rainfall, </w:t>
      </w:r>
      <w:proofErr w:type="spellStart"/>
      <w:r w:rsidRPr="00D5112B">
        <w:rPr>
          <w:bCs/>
          <w:szCs w:val="24"/>
        </w:rPr>
        <w:t>fertiliser</w:t>
      </w:r>
      <w:proofErr w:type="spellEnd"/>
      <w:r w:rsidRPr="00D5112B">
        <w:rPr>
          <w:bCs/>
          <w:szCs w:val="24"/>
        </w:rPr>
        <w:t xml:space="preserve">, and soil pH, reported with the coefficient of determination, mean absolute error and root mean square error. Each forecast carries a dispersion measure computed across the individual trees of the ensemble and reported as a confidence percentage and as an interval about the ensemble mean. That measure indicates </w:t>
      </w:r>
      <w:r w:rsidRPr="00D5112B">
        <w:rPr>
          <w:bCs/>
          <w:szCs w:val="24"/>
        </w:rPr>
        <w:lastRenderedPageBreak/>
        <w:t>how far the trees agree with one another. It is not a calibrated prediction interval, and Section 5.2.3 sets out the established methods that would produce one (</w:t>
      </w:r>
      <w:proofErr w:type="spellStart"/>
      <w:r w:rsidRPr="00D5112B">
        <w:rPr>
          <w:bCs/>
          <w:szCs w:val="24"/>
        </w:rPr>
        <w:t>Meinshausen</w:t>
      </w:r>
      <w:proofErr w:type="spellEnd"/>
      <w:r w:rsidRPr="00D5112B">
        <w:rPr>
          <w:bCs/>
          <w:szCs w:val="24"/>
        </w:rPr>
        <w:t>, 2006; Wager et al., 2014).</w:t>
      </w:r>
    </w:p>
    <w:p w:rsidR="0054721A" w:rsidRDefault="008A0666">
      <w:pPr>
        <w:pStyle w:val="BodyPara"/>
      </w:pPr>
      <w:r>
        <w:rPr>
          <w:szCs w:val="24"/>
        </w:rPr>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 xml:space="preserve">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4" w:name="_Toc238053116"/>
      <w:bookmarkStart w:id="85" w:name="_Toc238621408"/>
      <w:r>
        <w:rPr>
          <w:bCs/>
          <w:szCs w:val="24"/>
        </w:rPr>
        <w:t>3.6.6 Authentication and Per-Farm Data Boundary</w:t>
      </w:r>
      <w:bookmarkEnd w:id="84"/>
      <w:bookmarkEnd w:id="85"/>
    </w:p>
    <w:p w:rsidR="0054721A" w:rsidRDefault="008A0666" w:rsidP="0054721A">
      <w:pPr>
        <w:pStyle w:val="BodyPara"/>
      </w:pPr>
      <w:r>
        <w:rPr>
          <w:szCs w:val="24"/>
        </w:rPr>
        <w:t xml:space="preserve">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w:t>
      </w:r>
      <w:r>
        <w:rPr>
          <w:szCs w:val="24"/>
        </w:rPr>
        <w:lastRenderedPageBreak/>
        <w:t>through a versioned database migration rather than ad-hoc schema creation, preserving the integrity of the managed schema.</w:t>
      </w:r>
    </w:p>
    <w:p w:rsidR="0054721A" w:rsidRDefault="008A0666">
      <w:pPr>
        <w:pStyle w:val="H3"/>
      </w:pPr>
      <w:bookmarkStart w:id="86" w:name="_Toc238053117"/>
      <w:bookmarkStart w:id="87" w:name="_Toc238621409"/>
      <w:r>
        <w:rPr>
          <w:bCs/>
          <w:szCs w:val="24"/>
        </w:rPr>
        <w:t xml:space="preserve">3.6.7 </w:t>
      </w:r>
      <w:proofErr w:type="spellStart"/>
      <w:r>
        <w:rPr>
          <w:bCs/>
          <w:szCs w:val="24"/>
        </w:rPr>
        <w:t>Tokenised</w:t>
      </w:r>
      <w:proofErr w:type="spellEnd"/>
      <w:r>
        <w:rPr>
          <w:bCs/>
          <w:szCs w:val="24"/>
        </w:rPr>
        <w:t xml:space="preserve"> Stakeholder Reporting</w:t>
      </w:r>
      <w:bookmarkEnd w:id="86"/>
      <w:bookmarkEnd w:id="87"/>
    </w:p>
    <w:p w:rsidR="0054721A" w:rsidRDefault="008A0666" w:rsidP="0054721A">
      <w:pPr>
        <w:pStyle w:val="BodyPara"/>
      </w:pPr>
      <w:r>
        <w:rPr>
          <w:szCs w:val="24"/>
        </w:rPr>
        <w:t xml:space="preserve">The trust-building element of Objective 3 is </w:t>
      </w:r>
      <w:proofErr w:type="spellStart"/>
      <w:r>
        <w:rPr>
          <w:szCs w:val="24"/>
        </w:rPr>
        <w:t>realised</w:t>
      </w:r>
      <w:proofErr w:type="spellEnd"/>
      <w:r>
        <w:rPr>
          <w:szCs w:val="24"/>
        </w:rPr>
        <w:t xml:space="preserve"> through a </w:t>
      </w:r>
      <w:proofErr w:type="spellStart"/>
      <w:r>
        <w:rPr>
          <w:szCs w:val="24"/>
        </w:rPr>
        <w:t>tokenised</w:t>
      </w:r>
      <w:proofErr w:type="spellEnd"/>
      <w:r>
        <w:rPr>
          <w:szCs w:val="24"/>
        </w:rPr>
        <w:t xml:space="preserve">, read-only sharing mechanism. A farm owner may mint an opaque token that grants a bank or investor read-only access to that farm’s </w:t>
      </w:r>
      <w:proofErr w:type="spellStart"/>
      <w:r>
        <w:rPr>
          <w:szCs w:val="24"/>
        </w:rPr>
        <w:t>standardised</w:t>
      </w:r>
      <w:proofErr w:type="spellEnd"/>
      <w:r>
        <w:rPr>
          <w:szCs w:val="24"/>
        </w:rPr>
        <w:t xml:space="preserve">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w:t>
      </w:r>
      <w:proofErr w:type="spellStart"/>
      <w:r>
        <w:rPr>
          <w:szCs w:val="24"/>
        </w:rPr>
        <w:t>authorisation</w:t>
      </w:r>
      <w:proofErr w:type="spellEnd"/>
      <w:r>
        <w:rPr>
          <w:szCs w:val="24"/>
        </w:rPr>
        <w:t xml:space="preserve">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w:t>
      </w:r>
      <w:proofErr w:type="spellStart"/>
      <w:r>
        <w:rPr>
          <w:szCs w:val="24"/>
        </w:rPr>
        <w:t>tokenised</w:t>
      </w:r>
      <w:proofErr w:type="spellEnd"/>
      <w:r>
        <w:rPr>
          <w:szCs w:val="24"/>
        </w:rPr>
        <w:t xml:space="preserve"> reporting is the mechanism by which </w:t>
      </w:r>
      <w:proofErr w:type="spellStart"/>
      <w:r>
        <w:rPr>
          <w:szCs w:val="24"/>
        </w:rPr>
        <w:t>standardised</w:t>
      </w:r>
      <w:proofErr w:type="spellEnd"/>
      <w:r>
        <w:rPr>
          <w:szCs w:val="24"/>
        </w:rPr>
        <w:t xml:space="preserve"> data is shared with financial stakeholders; immutable distributed-ledger (</w:t>
      </w:r>
      <w:proofErr w:type="spellStart"/>
      <w:r>
        <w:rPr>
          <w:szCs w:val="24"/>
        </w:rPr>
        <w:t>blockchain</w:t>
      </w:r>
      <w:proofErr w:type="spellEnd"/>
      <w:r>
        <w:rPr>
          <w:szCs w:val="24"/>
        </w:rPr>
        <w:t>) governance, reviewed in Chapter Two, is designed as a future extension that can layer cryptographic tamper-evidence onto this foundation.</w:t>
      </w:r>
    </w:p>
    <w:p w:rsidR="0054721A" w:rsidRDefault="008A0666">
      <w:pPr>
        <w:pStyle w:val="H3"/>
      </w:pPr>
      <w:bookmarkStart w:id="88" w:name="_Toc238053118"/>
      <w:bookmarkStart w:id="89" w:name="_Toc238621410"/>
      <w:r>
        <w:rPr>
          <w:bCs/>
          <w:szCs w:val="24"/>
        </w:rPr>
        <w:t>3.6.8 Feature-Phone (USSD/SMS) Data Entry — Designed, Not Implemented</w:t>
      </w:r>
      <w:bookmarkEnd w:id="88"/>
      <w:bookmarkEnd w:id="89"/>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t>
      </w:r>
      <w:proofErr w:type="spellStart"/>
      <w:r>
        <w:rPr>
          <w:szCs w:val="24"/>
        </w:rPr>
        <w:t>webhook</w:t>
      </w:r>
      <w:proofErr w:type="spellEnd"/>
      <w:r>
        <w:rPr>
          <w:szCs w:val="24"/>
        </w:rPr>
        <w:t xml:space="preserve"> accepting a message consisting of a sender </w:t>
      </w:r>
      <w:r>
        <w:rPr>
          <w:szCs w:val="24"/>
        </w:rPr>
        <w:lastRenderedPageBreak/>
        <w:t xml:space="preserve">identifier and a short structured text, a parser converting that text into an activity and an amount, a mapping from the sender’s number to a registered farm so that unregistered 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t>
      </w:r>
      <w:proofErr w:type="spellStart"/>
      <w:r>
        <w:rPr>
          <w:szCs w:val="24"/>
        </w:rPr>
        <w:t>webhook</w:t>
      </w:r>
      <w:proofErr w:type="spellEnd"/>
      <w:r>
        <w:rPr>
          <w:szCs w:val="24"/>
        </w:rPr>
        <w:t>,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w:t>
      </w:r>
      <w:r>
        <w:lastRenderedPageBreak/>
        <w:t xml:space="preserve">of water actually removed, held deliberately distinct from the mass difference so that process loss and drying performance are never the same number; a mean drying rate; a 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w:t>
      </w:r>
      <w:proofErr w:type="spellStart"/>
      <w:r>
        <w:t>linearising</w:t>
      </w:r>
      <w:proofErr w:type="spellEnd"/>
      <w:r>
        <w:t xml:space="preserve"> transform, ln(−ln MR) = ln k + </w:t>
      </w:r>
      <w:proofErr w:type="spellStart"/>
      <w:r>
        <w:t>n·ln</w:t>
      </w:r>
      <w:proofErr w:type="spellEnd"/>
      <w:r>
        <w:t xml:space="preserve">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This module extends the deterministic tier from margin accounting to cost-</w:t>
      </w:r>
      <w:proofErr w:type="spellStart"/>
      <w:r>
        <w:t>behaviour</w:t>
      </w:r>
      <w:proofErr w:type="spellEnd"/>
      <w:r>
        <w:t xml:space="preserve"> analysis, and supplies the vocabulary of enterprise budgeting reviewed in Section 2.7.2 (Kay et al., 2016). Recorded cost is classified at the schema edge into variable, semi-</w:t>
      </w:r>
      <w:r>
        <w:lastRenderedPageBreak/>
        <w:t xml:space="preserve">variable and fixed </w:t>
      </w:r>
      <w:proofErr w:type="spellStart"/>
      <w:r>
        <w:t>behaviour</w:t>
      </w:r>
      <w:proofErr w:type="spellEnd"/>
      <w:r>
        <w:t xml:space="preserve">; the proportion of cost that carries a subtype is reported as an explicit classification-coverage figure, and the residue is reported as 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w:t>
      </w:r>
      <w:proofErr w:type="spellStart"/>
      <w:r>
        <w:t>behaviour</w:t>
      </w:r>
      <w:proofErr w:type="spellEnd"/>
      <w:r>
        <w:t xml:space="preserve">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w:t>
      </w:r>
      <w:r w:rsidR="00D5112B">
        <w:t xml:space="preserve">proposed change by four terms </w:t>
      </w:r>
      <w:r>
        <w:t>added revenue, reduced cost</w:t>
      </w:r>
      <w:r w:rsidR="00D5112B">
        <w:t xml:space="preserve">, lost revenue and added cost </w:t>
      </w:r>
      <w:r>
        <w:t xml:space="preserve">following the standard method </w:t>
      </w:r>
      <w:r>
        <w:lastRenderedPageBreak/>
        <w:t>for appraising incremental change in smallholder farming systems (CIMMYT, 1988; Kay et al., 2</w:t>
      </w:r>
      <w:r w:rsidR="00D5112B">
        <w:t xml:space="preserve">016) and is implemented twice </w:t>
      </w:r>
      <w:r>
        <w:t>once server-side and once in the client</w:t>
      </w:r>
      <w:r w:rsidR="00D5112B">
        <w:t xml:space="preserve">, so that it survives offline </w:t>
      </w:r>
      <w:r>
        <w:t>with both implementations asserted against a single shared hand-computed fixture.</w:t>
      </w:r>
    </w:p>
    <w:p w:rsidR="0054721A" w:rsidRDefault="008A0666">
      <w:pPr>
        <w:pStyle w:val="H2"/>
      </w:pPr>
      <w:bookmarkStart w:id="90" w:name="_Toc238053119"/>
      <w:bookmarkStart w:id="91" w:name="_Toc238621411"/>
      <w:r>
        <w:rPr>
          <w:bCs/>
          <w:szCs w:val="24"/>
        </w:rPr>
        <w:t>3.7 Security Design</w:t>
      </w:r>
      <w:bookmarkEnd w:id="90"/>
      <w:bookmarkEnd w:id="91"/>
    </w:p>
    <w:p w:rsidR="0054721A" w:rsidRDefault="008A0666" w:rsidP="0054721A">
      <w:pPr>
        <w:pStyle w:val="BodyPara"/>
      </w:pPr>
      <w:r>
        <w:rPr>
          <w:szCs w:val="24"/>
        </w:rPr>
        <w:t xml:space="preserve">Security is treated as a first-class requirement because the word “secure” appears in the aim and because Objective 3 depends on stakeholders trusting the platform’s outputs. The design rests on six elements. Authentication issues a signed token over credentials stored only as a hash. </w:t>
      </w:r>
      <w:proofErr w:type="spellStart"/>
      <w:r>
        <w:rPr>
          <w:szCs w:val="24"/>
        </w:rPr>
        <w:t>Authorisation</w:t>
      </w:r>
      <w:proofErr w:type="spellEnd"/>
      <w:r>
        <w:rPr>
          <w:szCs w:val="24"/>
        </w:rPr>
        <w:t xml:space="preserve">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w:t>
      </w:r>
      <w:r>
        <w:rPr>
          <w:szCs w:val="24"/>
        </w:rPr>
        <w:lastRenderedPageBreak/>
        <w:t>lifetime, no refresh mechanism, no password reset, no second factor, and no independent security assessment of any of it.</w:t>
      </w:r>
    </w:p>
    <w:p w:rsidR="0054721A" w:rsidRDefault="008A0666">
      <w:pPr>
        <w:pStyle w:val="H2"/>
      </w:pPr>
      <w:bookmarkStart w:id="92" w:name="_Toc238053120"/>
      <w:bookmarkStart w:id="93" w:name="_Toc238621412"/>
      <w:r>
        <w:rPr>
          <w:bCs/>
          <w:szCs w:val="24"/>
        </w:rPr>
        <w:t>3.8 Evaluation Methodology</w:t>
      </w:r>
      <w:bookmarkEnd w:id="92"/>
      <w:bookmarkEnd w:id="93"/>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4" w:name="_Toc238053121"/>
      <w:bookmarkStart w:id="95" w:name="_Toc238621413"/>
      <w:r>
        <w:rPr>
          <w:bCs/>
          <w:szCs w:val="24"/>
        </w:rPr>
        <w:t>3.8.1 Functional Verification</w:t>
      </w:r>
      <w:bookmarkEnd w:id="94"/>
      <w:bookmarkEnd w:id="95"/>
    </w:p>
    <w:p w:rsidR="0054721A" w:rsidRDefault="008A0666" w:rsidP="0054721A">
      <w:pPr>
        <w:pStyle w:val="BodyPara"/>
      </w:pPr>
      <w:r>
        <w:rPr>
          <w:szCs w:val="24"/>
        </w:rPr>
        <w:t xml:space="preserve">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w:t>
      </w:r>
      <w:proofErr w:type="spellStart"/>
      <w:r>
        <w:rPr>
          <w:szCs w:val="24"/>
        </w:rPr>
        <w:t>synchronises</w:t>
      </w:r>
      <w:proofErr w:type="spellEnd"/>
      <w:r>
        <w:rPr>
          <w:szCs w:val="24"/>
        </w:rPr>
        <w:t xml:space="preserve">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6" w:name="_Toc238053122"/>
      <w:bookmarkStart w:id="97" w:name="_Toc238621414"/>
      <w:r>
        <w:rPr>
          <w:bCs/>
          <w:szCs w:val="24"/>
        </w:rPr>
        <w:lastRenderedPageBreak/>
        <w:t>3.8.2 Performance Benchmarking</w:t>
      </w:r>
      <w:bookmarkEnd w:id="96"/>
      <w:bookmarkEnd w:id="97"/>
    </w:p>
    <w:p w:rsidR="0054721A" w:rsidRDefault="008A0666" w:rsidP="0054721A">
      <w:pPr>
        <w:pStyle w:val="BodyPara"/>
      </w:pPr>
      <w:r>
        <w:rPr>
          <w:szCs w:val="24"/>
        </w:rPr>
        <w:t>Performance under constrained conditions is measured using an automated auditing tool (Lighthouse) run against the production build of the application, with device emulation 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 xml:space="preserve">First </w:t>
      </w:r>
      <w:proofErr w:type="spellStart"/>
      <w:r>
        <w:rPr>
          <w:szCs w:val="24"/>
        </w:rPr>
        <w:t>Contentful</w:t>
      </w:r>
      <w:proofErr w:type="spellEnd"/>
      <w:r>
        <w:rPr>
          <w:szCs w:val="24"/>
        </w:rPr>
        <w:t xml:space="preserve"> Paint, Largest </w:t>
      </w:r>
      <w:proofErr w:type="spellStart"/>
      <w:r>
        <w:rPr>
          <w:szCs w:val="24"/>
        </w:rPr>
        <w:t>Contentful</w:t>
      </w:r>
      <w:proofErr w:type="spellEnd"/>
      <w:r>
        <w:rPr>
          <w:szCs w:val="24"/>
        </w:rPr>
        <w:t xml:space="preserve">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8" w:name="_Toc238053123"/>
      <w:bookmarkStart w:id="99" w:name="_Toc238621415"/>
      <w:r>
        <w:rPr>
          <w:bCs/>
          <w:szCs w:val="24"/>
        </w:rPr>
        <w:t>3.8.3 Hosting-Cost Analysis</w:t>
      </w:r>
      <w:bookmarkEnd w:id="98"/>
      <w:bookmarkEnd w:id="99"/>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0" w:name="_Toc238053124"/>
      <w:bookmarkStart w:id="101" w:name="_Toc238621416"/>
      <w:r>
        <w:rPr>
          <w:bCs/>
          <w:szCs w:val="24"/>
        </w:rPr>
        <w:t>3.8.4 Usability Evaluation (Heuristic and SUS)</w:t>
      </w:r>
      <w:bookmarkEnd w:id="100"/>
      <w:bookmarkEnd w:id="101"/>
    </w:p>
    <w:p w:rsidR="0054721A" w:rsidRDefault="008A0666" w:rsidP="0054721A">
      <w:pPr>
        <w:pStyle w:val="BodyPara"/>
      </w:pPr>
      <w:r>
        <w:rPr>
          <w:szCs w:val="24"/>
        </w:rPr>
        <w:t xml:space="preserve">The usability strand is specified as an expert heuristic evaluation combined with a </w:t>
      </w:r>
      <w:proofErr w:type="spellStart"/>
      <w:r>
        <w:rPr>
          <w:szCs w:val="24"/>
        </w:rPr>
        <w:t>standardised</w:t>
      </w:r>
      <w:proofErr w:type="spellEnd"/>
      <w:r>
        <w:rPr>
          <w:szCs w:val="24"/>
        </w:rPr>
        <w:t xml:space="preserve"> usability questionnaire, a </w:t>
      </w:r>
      <w:proofErr w:type="spellStart"/>
      <w:r>
        <w:rPr>
          <w:szCs w:val="24"/>
        </w:rPr>
        <w:t>recognised</w:t>
      </w:r>
      <w:proofErr w:type="spellEnd"/>
      <w:r>
        <w:rPr>
          <w:szCs w:val="24"/>
        </w:rPr>
        <w:t xml:space="preserve"> and citable approach that is appropriate where a large end-user sample is not available (Nielsen &amp; </w:t>
      </w:r>
      <w:proofErr w:type="spellStart"/>
      <w:r>
        <w:rPr>
          <w:szCs w:val="24"/>
        </w:rPr>
        <w:t>Molich</w:t>
      </w:r>
      <w:proofErr w:type="spellEnd"/>
      <w:r>
        <w:rPr>
          <w:szCs w:val="24"/>
        </w:rPr>
        <w:t xml:space="preserve">,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w:t>
      </w:r>
      <w:r>
        <w:rPr>
          <w:szCs w:val="24"/>
        </w:rPr>
        <w:lastRenderedPageBreak/>
        <w:t xml:space="preserve">recording issues with severity ratings. Each evaluator would additionally complete the ten-item System Usability Scale (SUS), which yields a single score between 0 and 100 (Brooke, 1996); with a small evaluator panel the SUS score would be reported as 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4.12 reports that absence and reports no figure against these instruments; the tables there are drafted to receive real data and are deliberately left empty.</w:t>
      </w:r>
    </w:p>
    <w:p w:rsidR="0054721A" w:rsidRDefault="008A0666">
      <w:pPr>
        <w:pStyle w:val="H3"/>
      </w:pPr>
      <w:bookmarkStart w:id="102" w:name="_Toc238053125"/>
      <w:bookmarkStart w:id="103" w:name="_Toc238621417"/>
      <w:r>
        <w:rPr>
          <w:bCs/>
          <w:szCs w:val="24"/>
        </w:rPr>
        <w:t>3.8.5 Designed Field Evaluation (Future Work)</w:t>
      </w:r>
      <w:bookmarkEnd w:id="102"/>
      <w:bookmarkEnd w:id="103"/>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4" w:name="_Toc238053126"/>
      <w:bookmarkStart w:id="105" w:name="_Toc238621418"/>
      <w:r>
        <w:rPr>
          <w:bCs/>
          <w:szCs w:val="24"/>
        </w:rPr>
        <w:t>3.9 Summary</w:t>
      </w:r>
      <w:bookmarkEnd w:id="104"/>
      <w:bookmarkEnd w:id="105"/>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w:t>
      </w:r>
      <w:r>
        <w:rPr>
          <w:szCs w:val="24"/>
        </w:rPr>
        <w:lastRenderedPageBreak/>
        <w:t xml:space="preserve">approach with human-reviewed, agent-assisted implementation; a requirements analysis grounded in the socio-technical constraints of Nigerian agriculture, including one requirement the release does not meet; a client–server architecture built around a 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w:t>
      </w:r>
      <w:proofErr w:type="spellStart"/>
      <w:r>
        <w:rPr>
          <w:szCs w:val="24"/>
        </w:rPr>
        <w:t>mechanisation</w:t>
      </w:r>
      <w:proofErr w:type="spellEnd"/>
      <w:r>
        <w:rPr>
          <w:szCs w:val="24"/>
        </w:rPr>
        <w:t xml:space="preserve"> and equipment tracker, a two-tier decision-support engine whose deterministic tier computes nine quantities from real records and whose optional forecast tier is transparently trained on synthetic data, authentication and the per-farm boundary, </w:t>
      </w:r>
      <w:proofErr w:type="spellStart"/>
      <w:r>
        <w:rPr>
          <w:szCs w:val="24"/>
        </w:rPr>
        <w:t>tokenised</w:t>
      </w:r>
      <w:proofErr w:type="spellEnd"/>
      <w:r>
        <w:rPr>
          <w:szCs w:val="24"/>
        </w:rPr>
        <w:t xml:space="preserve"> stakeholder reporting, a designed but unimplemented feature-phone channel, the post-harvest drying module, and the enterprise-economics module. It set out a security design resting on authentication, role-based </w:t>
      </w:r>
      <w:proofErr w:type="spellStart"/>
      <w:r>
        <w:rPr>
          <w:szCs w:val="24"/>
        </w:rPr>
        <w:t>authorisation</w:t>
      </w:r>
      <w:proofErr w:type="spellEnd"/>
      <w:r>
        <w:rPr>
          <w:szCs w:val="24"/>
        </w:rPr>
        <w:t>,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6" w:name="_Toc238621419"/>
      <w:r>
        <w:rPr>
          <w:szCs w:val="28"/>
        </w:rPr>
        <w:lastRenderedPageBreak/>
        <w:t>CHAPTER FOUR</w:t>
      </w:r>
      <w:bookmarkEnd w:id="106"/>
    </w:p>
    <w:p w:rsidR="009C29EC" w:rsidRDefault="008A0666">
      <w:pPr>
        <w:pStyle w:val="ChapterTitle"/>
      </w:pPr>
      <w:bookmarkStart w:id="107" w:name="_Toc238621420"/>
      <w:r>
        <w:rPr>
          <w:szCs w:val="28"/>
        </w:rPr>
        <w:t>4.0</w:t>
      </w:r>
      <w:r w:rsidR="00416C8F">
        <w:rPr>
          <w:szCs w:val="28"/>
        </w:rPr>
        <w:t> RESULTS</w:t>
      </w:r>
      <w:r>
        <w:rPr>
          <w:szCs w:val="28"/>
        </w:rPr>
        <w:t xml:space="preserve"> AND ANALYSIS</w:t>
      </w:r>
      <w:bookmarkEnd w:id="107"/>
    </w:p>
    <w:p w:rsidR="009C29EC" w:rsidRDefault="008A0666">
      <w:pPr>
        <w:pStyle w:val="H2"/>
      </w:pPr>
      <w:bookmarkStart w:id="108" w:name="_Toc238621421"/>
      <w:r>
        <w:rPr>
          <w:szCs w:val="24"/>
        </w:rPr>
        <w:t>4.1 Introduction</w:t>
      </w:r>
      <w:bookmarkEnd w:id="108"/>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cantSplit/>
          <w:tblHeader/>
          <w:jc w:val="center"/>
        </w:trPr>
        <w:tc>
          <w:tcPr>
            <w:tcW w:w="2834" w:type="dxa"/>
            <w:tcBorders>
              <w:bottom w:val="single" w:sz="8" w:space="0" w:color="auto"/>
            </w:tcBorders>
            <w:vAlign w:val="center"/>
          </w:tcPr>
          <w:p w:rsidR="009C29EC" w:rsidRDefault="008A0666">
            <w:pPr>
              <w:pStyle w:val="TableCell"/>
            </w:pPr>
            <w:r>
              <w:rPr>
                <w:b/>
                <w:bCs/>
                <w:sz w:val="22"/>
              </w:rPr>
              <w:t>Class</w:t>
            </w:r>
          </w:p>
        </w:tc>
        <w:tc>
          <w:tcPr>
            <w:tcW w:w="2835" w:type="dxa"/>
            <w:tcBorders>
              <w:bottom w:val="single" w:sz="8" w:space="0" w:color="auto"/>
            </w:tcBorders>
            <w:vAlign w:val="center"/>
          </w:tcPr>
          <w:p w:rsidR="009C29EC" w:rsidRDefault="008A0666">
            <w:pPr>
              <w:pStyle w:val="TableCell"/>
            </w:pPr>
            <w:r>
              <w:rPr>
                <w:b/>
                <w:bCs/>
                <w:sz w:val="22"/>
              </w:rPr>
              <w:t>What it means</w:t>
            </w:r>
          </w:p>
        </w:tc>
        <w:tc>
          <w:tcPr>
            <w:tcW w:w="2835" w:type="dxa"/>
            <w:tcBorders>
              <w:bottom w:val="single" w:sz="8" w:space="0" w:color="auto"/>
            </w:tcBorders>
            <w:vAlign w:val="center"/>
          </w:tcPr>
          <w:p w:rsidR="009C29EC" w:rsidRDefault="008A0666">
            <w:pPr>
              <w:pStyle w:val="TableCell"/>
            </w:pPr>
            <w:r>
              <w:rPr>
                <w:b/>
                <w:bCs/>
                <w:sz w:val="22"/>
              </w:rPr>
              <w:t>What may establish it</w:t>
            </w:r>
          </w:p>
        </w:tc>
      </w:tr>
      <w:tr w:rsidR="009C29EC" w:rsidTr="00416C8F">
        <w:trPr>
          <w:cantSplit/>
          <w:jc w:val="center"/>
        </w:trPr>
        <w:tc>
          <w:tcPr>
            <w:tcW w:w="2834" w:type="dxa"/>
            <w:tcBorders>
              <w:bottom w:val="nil"/>
            </w:tcBorders>
            <w:vAlign w:val="center"/>
          </w:tcPr>
          <w:p w:rsidR="009C29EC" w:rsidRDefault="008A0666">
            <w:pPr>
              <w:pStyle w:val="TableCell"/>
            </w:pPr>
            <w:r>
              <w:rPr>
                <w:sz w:val="22"/>
              </w:rPr>
              <w:t>Implemented</w:t>
            </w:r>
          </w:p>
        </w:tc>
        <w:tc>
          <w:tcPr>
            <w:tcW w:w="2835" w:type="dxa"/>
            <w:tcBorders>
              <w:bottom w:val="nil"/>
            </w:tcBorders>
            <w:vAlign w:val="center"/>
          </w:tcPr>
          <w:p w:rsidR="009C29EC" w:rsidRDefault="008A0666">
            <w:pPr>
              <w:pStyle w:val="TableCell"/>
            </w:pPr>
            <w:r>
              <w:rPr>
                <w:sz w:val="22"/>
              </w:rPr>
              <w:t>The code exists and, where stated, is reachable by a user.</w:t>
            </w:r>
          </w:p>
        </w:tc>
        <w:tc>
          <w:tcPr>
            <w:tcW w:w="2835" w:type="dxa"/>
            <w:tcBorders>
              <w:bottom w:val="nil"/>
            </w:tcBorders>
            <w:vAlign w:val="center"/>
          </w:tcPr>
          <w:p w:rsidR="009C29EC" w:rsidRDefault="008A0666">
            <w:pPr>
              <w:pStyle w:val="TableCell"/>
            </w:pPr>
            <w:r>
              <w:rPr>
                <w:sz w:val="22"/>
              </w:rPr>
              <w:t>Source inspection and the deployed application.</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 xml:space="preserve">A named, passing automated test asserts the </w:t>
            </w:r>
            <w:proofErr w:type="spellStart"/>
            <w:r>
              <w:rPr>
                <w:sz w:val="22"/>
              </w:rPr>
              <w:t>behaviour</w:t>
            </w:r>
            <w:proofErr w:type="spellEnd"/>
            <w:r>
              <w:rPr>
                <w:sz w:val="22"/>
              </w:rPr>
              <w:t>.</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cantSplit/>
          <w:jc w:val="center"/>
        </w:trPr>
        <w:tc>
          <w:tcPr>
            <w:tcW w:w="2834" w:type="dxa"/>
            <w:tcBorders>
              <w:top w:val="nil"/>
            </w:tcBorders>
            <w:vAlign w:val="center"/>
          </w:tcPr>
          <w:p w:rsidR="009C29EC" w:rsidRDefault="008A0666">
            <w:pPr>
              <w:pStyle w:val="TableCell"/>
            </w:pPr>
            <w:r>
              <w:rPr>
                <w:sz w:val="22"/>
              </w:rPr>
              <w:t>Numerical result</w:t>
            </w:r>
          </w:p>
        </w:tc>
        <w:tc>
          <w:tcPr>
            <w:tcW w:w="2835" w:type="dxa"/>
            <w:tcBorders>
              <w:top w:val="nil"/>
            </w:tcBorders>
            <w:vAlign w:val="center"/>
          </w:tcPr>
          <w:p w:rsidR="009C29EC" w:rsidRDefault="008A0666">
            <w:pPr>
              <w:pStyle w:val="TableCell"/>
            </w:pPr>
            <w:r>
              <w:rPr>
                <w:sz w:val="22"/>
              </w:rPr>
              <w:t>A measured or computed value with a named command or artefact behind it.</w:t>
            </w:r>
          </w:p>
        </w:tc>
        <w:tc>
          <w:tcPr>
            <w:tcW w:w="2835" w:type="dxa"/>
            <w:tcBorders>
              <w:top w:val="nil"/>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 xml:space="preserve">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w:t>
      </w:r>
      <w:r>
        <w:rPr>
          <w:szCs w:val="24"/>
        </w:rPr>
        <w:lastRenderedPageBreak/>
        <w:t xml:space="preserve">Every figure is a live API response, and </w:t>
      </w:r>
      <w:proofErr w:type="spellStart"/>
      <w:r>
        <w:rPr>
          <w:szCs w:val="24"/>
        </w:rPr>
        <w:t>every one</w:t>
      </w:r>
      <w:proofErr w:type="spellEnd"/>
      <w:r>
        <w:rPr>
          <w:szCs w:val="24"/>
        </w:rPr>
        <w:t xml:space="preserve"> is traceable to the records that produced it.</w:t>
      </w:r>
    </w:p>
    <w:p w:rsidR="009C29EC" w:rsidRDefault="008A0666">
      <w:pPr>
        <w:pStyle w:val="TableCaption"/>
      </w:pPr>
      <w:bookmarkStart w:id="109" w:name="_Toc238621500"/>
      <w:r>
        <w:rPr>
          <w:szCs w:val="24"/>
        </w:rPr>
        <w:t>Table 4.2: Per-crop decision support, farm 26</w:t>
      </w:r>
      <w:bookmarkEnd w:id="109"/>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cantSplit/>
          <w:tblHeader/>
          <w:jc w:val="center"/>
        </w:trPr>
        <w:tc>
          <w:tcPr>
            <w:tcW w:w="1259"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Rank</w:t>
            </w:r>
          </w:p>
        </w:tc>
        <w:tc>
          <w:tcPr>
            <w:tcW w:w="945"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Crop</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Revenue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Expenses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Gross margin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Yield</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Marketable mass</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1</w:t>
            </w:r>
          </w:p>
        </w:tc>
        <w:tc>
          <w:tcPr>
            <w:tcW w:w="945" w:type="dxa"/>
            <w:vAlign w:val="center"/>
          </w:tcPr>
          <w:p w:rsidR="009C29EC" w:rsidRPr="008A0770" w:rsidRDefault="008A0666" w:rsidP="008A0770">
            <w:pPr>
              <w:pStyle w:val="TableCell"/>
              <w:rPr>
                <w:sz w:val="24"/>
                <w:szCs w:val="24"/>
              </w:rPr>
            </w:pPr>
            <w:r w:rsidRPr="008A0770">
              <w:rPr>
                <w:sz w:val="24"/>
                <w:szCs w:val="24"/>
              </w:rPr>
              <w:t>Cowpea</w:t>
            </w:r>
          </w:p>
        </w:tc>
        <w:tc>
          <w:tcPr>
            <w:tcW w:w="1260" w:type="dxa"/>
            <w:vAlign w:val="center"/>
          </w:tcPr>
          <w:p w:rsidR="009C29EC" w:rsidRPr="008A0770" w:rsidRDefault="008A0666" w:rsidP="008A0770">
            <w:pPr>
              <w:pStyle w:val="TableCell"/>
              <w:rPr>
                <w:sz w:val="24"/>
                <w:szCs w:val="24"/>
              </w:rPr>
            </w:pPr>
            <w:r w:rsidRPr="008A0770">
              <w:rPr>
                <w:sz w:val="24"/>
                <w:szCs w:val="24"/>
              </w:rPr>
              <w:t>624,950</w:t>
            </w:r>
          </w:p>
        </w:tc>
        <w:tc>
          <w:tcPr>
            <w:tcW w:w="1260" w:type="dxa"/>
            <w:vAlign w:val="center"/>
          </w:tcPr>
          <w:p w:rsidR="009C29EC" w:rsidRPr="008A0770" w:rsidRDefault="008A0666" w:rsidP="008A0770">
            <w:pPr>
              <w:pStyle w:val="TableCell"/>
              <w:rPr>
                <w:sz w:val="24"/>
                <w:szCs w:val="24"/>
              </w:rPr>
            </w:pPr>
            <w:r w:rsidRPr="008A0770">
              <w:rPr>
                <w:sz w:val="24"/>
                <w:szCs w:val="24"/>
              </w:rPr>
              <w:t>267,700</w:t>
            </w:r>
          </w:p>
        </w:tc>
        <w:tc>
          <w:tcPr>
            <w:tcW w:w="1260" w:type="dxa"/>
            <w:vAlign w:val="center"/>
          </w:tcPr>
          <w:p w:rsidR="009C29EC" w:rsidRPr="008A0770" w:rsidRDefault="008A0666" w:rsidP="008A0770">
            <w:pPr>
              <w:pStyle w:val="TableCell"/>
              <w:rPr>
                <w:sz w:val="24"/>
                <w:szCs w:val="24"/>
              </w:rPr>
            </w:pPr>
            <w:r w:rsidRPr="008A0770">
              <w:rPr>
                <w:b/>
                <w:bCs/>
                <w:sz w:val="24"/>
                <w:szCs w:val="24"/>
              </w:rPr>
              <w:t>357,250</w:t>
            </w:r>
          </w:p>
        </w:tc>
        <w:tc>
          <w:tcPr>
            <w:tcW w:w="1260" w:type="dxa"/>
            <w:vAlign w:val="center"/>
          </w:tcPr>
          <w:p w:rsidR="009C29EC" w:rsidRPr="008A0770" w:rsidRDefault="008A0666" w:rsidP="008A0770">
            <w:pPr>
              <w:pStyle w:val="TableCell"/>
              <w:rPr>
                <w:sz w:val="24"/>
                <w:szCs w:val="24"/>
              </w:rPr>
            </w:pPr>
            <w:r w:rsidRPr="008A0770">
              <w:rPr>
                <w:sz w:val="24"/>
                <w:szCs w:val="24"/>
              </w:rPr>
              <w:t>480 kg</w:t>
            </w:r>
          </w:p>
        </w:tc>
        <w:tc>
          <w:tcPr>
            <w:tcW w:w="1260" w:type="dxa"/>
            <w:vAlign w:val="center"/>
          </w:tcPr>
          <w:p w:rsidR="009C29EC" w:rsidRPr="008A0770" w:rsidRDefault="008A0666" w:rsidP="008A0770">
            <w:pPr>
              <w:pStyle w:val="TableCell"/>
              <w:rPr>
                <w:sz w:val="24"/>
                <w:szCs w:val="24"/>
              </w:rPr>
            </w:pPr>
            <w:r w:rsidRPr="008A0770">
              <w:rPr>
                <w:sz w:val="24"/>
                <w:szCs w:val="24"/>
              </w:rPr>
              <w:t>431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2</w:t>
            </w:r>
          </w:p>
        </w:tc>
        <w:tc>
          <w:tcPr>
            <w:tcW w:w="945" w:type="dxa"/>
            <w:vAlign w:val="center"/>
          </w:tcPr>
          <w:p w:rsidR="009C29EC" w:rsidRPr="008A0770" w:rsidRDefault="008A0666" w:rsidP="008A0770">
            <w:pPr>
              <w:pStyle w:val="TableCell"/>
              <w:rPr>
                <w:sz w:val="24"/>
                <w:szCs w:val="24"/>
              </w:rPr>
            </w:pPr>
            <w:r w:rsidRPr="008A0770">
              <w:rPr>
                <w:sz w:val="24"/>
                <w:szCs w:val="24"/>
              </w:rPr>
              <w:t>Cassava</w:t>
            </w:r>
          </w:p>
        </w:tc>
        <w:tc>
          <w:tcPr>
            <w:tcW w:w="1260" w:type="dxa"/>
            <w:vAlign w:val="center"/>
          </w:tcPr>
          <w:p w:rsidR="009C29EC" w:rsidRPr="008A0770" w:rsidRDefault="008A0666" w:rsidP="008A0770">
            <w:pPr>
              <w:pStyle w:val="TableCell"/>
              <w:rPr>
                <w:sz w:val="24"/>
                <w:szCs w:val="24"/>
              </w:rPr>
            </w:pPr>
            <w:r w:rsidRPr="008A0770">
              <w:rPr>
                <w:sz w:val="24"/>
                <w:szCs w:val="24"/>
              </w:rPr>
              <w:t>178,600</w:t>
            </w:r>
          </w:p>
        </w:tc>
        <w:tc>
          <w:tcPr>
            <w:tcW w:w="1260" w:type="dxa"/>
            <w:vAlign w:val="center"/>
          </w:tcPr>
          <w:p w:rsidR="009C29EC" w:rsidRPr="008A0770" w:rsidRDefault="008A0666" w:rsidP="008A0770">
            <w:pPr>
              <w:pStyle w:val="TableCell"/>
              <w:rPr>
                <w:sz w:val="24"/>
                <w:szCs w:val="24"/>
              </w:rPr>
            </w:pPr>
            <w:r w:rsidRPr="008A0770">
              <w:rPr>
                <w:sz w:val="24"/>
                <w:szCs w:val="24"/>
              </w:rPr>
              <w:t>94,400</w:t>
            </w:r>
          </w:p>
        </w:tc>
        <w:tc>
          <w:tcPr>
            <w:tcW w:w="1260" w:type="dxa"/>
            <w:vAlign w:val="center"/>
          </w:tcPr>
          <w:p w:rsidR="009C29EC" w:rsidRPr="008A0770" w:rsidRDefault="008A0666" w:rsidP="008A0770">
            <w:pPr>
              <w:pStyle w:val="TableCell"/>
              <w:rPr>
                <w:sz w:val="24"/>
                <w:szCs w:val="24"/>
              </w:rPr>
            </w:pPr>
            <w:r w:rsidRPr="008A0770">
              <w:rPr>
                <w:b/>
                <w:bCs/>
                <w:sz w:val="24"/>
                <w:szCs w:val="24"/>
              </w:rPr>
              <w:t>84,200</w:t>
            </w:r>
          </w:p>
        </w:tc>
        <w:tc>
          <w:tcPr>
            <w:tcW w:w="1260" w:type="dxa"/>
            <w:vAlign w:val="center"/>
          </w:tcPr>
          <w:p w:rsidR="009C29EC" w:rsidRPr="008A0770" w:rsidRDefault="008A0666" w:rsidP="008A0770">
            <w:pPr>
              <w:pStyle w:val="TableCell"/>
              <w:rPr>
                <w:sz w:val="24"/>
                <w:szCs w:val="24"/>
              </w:rPr>
            </w:pPr>
            <w:r w:rsidRPr="008A0770">
              <w:rPr>
                <w:sz w:val="24"/>
                <w:szCs w:val="24"/>
              </w:rPr>
              <w:t>1,880 kg</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3</w:t>
            </w:r>
          </w:p>
        </w:tc>
        <w:tc>
          <w:tcPr>
            <w:tcW w:w="945" w:type="dxa"/>
            <w:vAlign w:val="center"/>
          </w:tcPr>
          <w:p w:rsidR="009C29EC" w:rsidRPr="008A0770" w:rsidRDefault="008A0666" w:rsidP="008A0770">
            <w:pPr>
              <w:pStyle w:val="TableCell"/>
              <w:rPr>
                <w:sz w:val="24"/>
                <w:szCs w:val="24"/>
              </w:rPr>
            </w:pPr>
            <w:r w:rsidRPr="008A0770">
              <w:rPr>
                <w:sz w:val="24"/>
                <w:szCs w:val="24"/>
              </w:rPr>
              <w:t>Maize</w:t>
            </w:r>
          </w:p>
        </w:tc>
        <w:tc>
          <w:tcPr>
            <w:tcW w:w="1260" w:type="dxa"/>
            <w:vAlign w:val="center"/>
          </w:tcPr>
          <w:p w:rsidR="009C29EC" w:rsidRPr="008A0770" w:rsidRDefault="008A0666" w:rsidP="008A0770">
            <w:pPr>
              <w:pStyle w:val="TableCell"/>
              <w:rPr>
                <w:sz w:val="24"/>
                <w:szCs w:val="24"/>
              </w:rPr>
            </w:pPr>
            <w:r w:rsidRPr="008A0770">
              <w:rPr>
                <w:sz w:val="24"/>
                <w:szCs w:val="24"/>
              </w:rPr>
              <w:t>45,000</w:t>
            </w:r>
          </w:p>
        </w:tc>
        <w:tc>
          <w:tcPr>
            <w:tcW w:w="1260" w:type="dxa"/>
            <w:vAlign w:val="center"/>
          </w:tcPr>
          <w:p w:rsidR="009C29EC" w:rsidRPr="008A0770" w:rsidRDefault="008A0666" w:rsidP="008A0770">
            <w:pPr>
              <w:pStyle w:val="TableCell"/>
              <w:rPr>
                <w:sz w:val="24"/>
                <w:szCs w:val="24"/>
              </w:rPr>
            </w:pPr>
            <w:r w:rsidRPr="008A0770">
              <w:rPr>
                <w:sz w:val="24"/>
                <w:szCs w:val="24"/>
              </w:rPr>
              <w:t>3,500</w:t>
            </w:r>
          </w:p>
        </w:tc>
        <w:tc>
          <w:tcPr>
            <w:tcW w:w="1260" w:type="dxa"/>
            <w:vAlign w:val="center"/>
          </w:tcPr>
          <w:p w:rsidR="009C29EC" w:rsidRPr="008A0770" w:rsidRDefault="008A0666" w:rsidP="008A0770">
            <w:pPr>
              <w:pStyle w:val="TableCell"/>
              <w:rPr>
                <w:sz w:val="24"/>
                <w:szCs w:val="24"/>
              </w:rPr>
            </w:pPr>
            <w:r w:rsidRPr="008A0770">
              <w:rPr>
                <w:b/>
                <w:bCs/>
                <w:sz w:val="24"/>
                <w:szCs w:val="24"/>
              </w:rPr>
              <w:t>41,500</w:t>
            </w:r>
          </w:p>
        </w:tc>
        <w:tc>
          <w:tcPr>
            <w:tcW w:w="1260" w:type="dxa"/>
            <w:vAlign w:val="center"/>
          </w:tcPr>
          <w:p w:rsidR="009C29EC" w:rsidRPr="008A0770" w:rsidRDefault="008A0666" w:rsidP="008A0770">
            <w:pPr>
              <w:pStyle w:val="TableCell"/>
              <w:rPr>
                <w:sz w:val="24"/>
                <w:szCs w:val="24"/>
              </w:rPr>
            </w:pPr>
            <w:r w:rsidRPr="008A0770">
              <w:rPr>
                <w:sz w:val="24"/>
                <w:szCs w:val="24"/>
              </w:rPr>
              <w:t>100 kg</w:t>
            </w:r>
          </w:p>
        </w:tc>
        <w:tc>
          <w:tcPr>
            <w:tcW w:w="1260" w:type="dxa"/>
            <w:vAlign w:val="center"/>
          </w:tcPr>
          <w:p w:rsidR="009C29EC" w:rsidRPr="008A0770" w:rsidRDefault="008A0666" w:rsidP="008A0770">
            <w:pPr>
              <w:pStyle w:val="TableCell"/>
              <w:rPr>
                <w:sz w:val="24"/>
                <w:szCs w:val="24"/>
              </w:rPr>
            </w:pPr>
            <w:r w:rsidRPr="008A0770">
              <w:rPr>
                <w:sz w:val="24"/>
                <w:szCs w:val="24"/>
              </w:rPr>
              <w:t>84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4</w:t>
            </w:r>
          </w:p>
        </w:tc>
        <w:tc>
          <w:tcPr>
            <w:tcW w:w="945" w:type="dxa"/>
            <w:vAlign w:val="center"/>
          </w:tcPr>
          <w:p w:rsidR="009C29EC" w:rsidRPr="008A0770" w:rsidRDefault="008A0666" w:rsidP="008A0770">
            <w:pPr>
              <w:pStyle w:val="TableCell"/>
              <w:rPr>
                <w:sz w:val="24"/>
                <w:szCs w:val="24"/>
              </w:rPr>
            </w:pPr>
            <w:r w:rsidRPr="008A0770">
              <w:rPr>
                <w:sz w:val="24"/>
                <w:szCs w:val="24"/>
              </w:rPr>
              <w:t>Tomato</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112,900</w:t>
            </w:r>
          </w:p>
        </w:tc>
        <w:tc>
          <w:tcPr>
            <w:tcW w:w="1260" w:type="dxa"/>
            <w:vAlign w:val="center"/>
          </w:tcPr>
          <w:p w:rsidR="009C29EC" w:rsidRPr="008A0770" w:rsidRDefault="008A0666" w:rsidP="008A0770">
            <w:pPr>
              <w:pStyle w:val="TableCell"/>
              <w:rPr>
                <w:sz w:val="24"/>
                <w:szCs w:val="24"/>
              </w:rPr>
            </w:pPr>
            <w:r w:rsidRPr="008A0770">
              <w:rPr>
                <w:b/>
                <w:bCs/>
                <w:sz w:val="24"/>
                <w:szCs w:val="24"/>
              </w:rPr>
              <w:t>−112,900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5</w:t>
            </w:r>
          </w:p>
        </w:tc>
        <w:tc>
          <w:tcPr>
            <w:tcW w:w="945" w:type="dxa"/>
            <w:vAlign w:val="center"/>
          </w:tcPr>
          <w:p w:rsidR="009C29EC" w:rsidRPr="008A0770" w:rsidRDefault="008A0666" w:rsidP="008A0770">
            <w:pPr>
              <w:pStyle w:val="TableCell"/>
              <w:rPr>
                <w:sz w:val="24"/>
                <w:szCs w:val="24"/>
              </w:rPr>
            </w:pPr>
            <w:r w:rsidRPr="008A0770">
              <w:rPr>
                <w:sz w:val="24"/>
                <w:szCs w:val="24"/>
              </w:rPr>
              <w:t>Sorghum</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119,950</w:t>
            </w:r>
          </w:p>
        </w:tc>
        <w:tc>
          <w:tcPr>
            <w:tcW w:w="1260" w:type="dxa"/>
            <w:vAlign w:val="center"/>
          </w:tcPr>
          <w:p w:rsidR="009C29EC" w:rsidRPr="008A0770" w:rsidRDefault="008A0666" w:rsidP="008A0770">
            <w:pPr>
              <w:pStyle w:val="TableCell"/>
              <w:rPr>
                <w:sz w:val="24"/>
                <w:szCs w:val="24"/>
              </w:rPr>
            </w:pPr>
            <w:r w:rsidRPr="008A0770">
              <w:rPr>
                <w:b/>
                <w:bCs/>
                <w:sz w:val="24"/>
                <w:szCs w:val="24"/>
              </w:rPr>
              <w:t>−119,950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9C29EC" w:rsidP="008A0770">
            <w:pPr>
              <w:pStyle w:val="TableCell"/>
              <w:rPr>
                <w:sz w:val="24"/>
                <w:szCs w:val="24"/>
              </w:rPr>
            </w:pPr>
          </w:p>
        </w:tc>
        <w:tc>
          <w:tcPr>
            <w:tcW w:w="945" w:type="dxa"/>
            <w:vAlign w:val="center"/>
          </w:tcPr>
          <w:p w:rsidR="009C29EC" w:rsidRPr="008A0770" w:rsidRDefault="008A0666" w:rsidP="008A0770">
            <w:pPr>
              <w:pStyle w:val="TableCell"/>
              <w:rPr>
                <w:sz w:val="24"/>
                <w:szCs w:val="24"/>
              </w:rPr>
            </w:pPr>
            <w:r w:rsidRPr="008A0770">
              <w:rPr>
                <w:b/>
                <w:bCs/>
                <w:sz w:val="24"/>
                <w:szCs w:val="24"/>
              </w:rPr>
              <w:t>Farm total</w:t>
            </w:r>
          </w:p>
        </w:tc>
        <w:tc>
          <w:tcPr>
            <w:tcW w:w="1260" w:type="dxa"/>
            <w:vAlign w:val="center"/>
          </w:tcPr>
          <w:p w:rsidR="009C29EC" w:rsidRPr="008A0770" w:rsidRDefault="008A0666" w:rsidP="008A0770">
            <w:pPr>
              <w:pStyle w:val="TableCell"/>
              <w:rPr>
                <w:sz w:val="24"/>
                <w:szCs w:val="24"/>
              </w:rPr>
            </w:pPr>
            <w:r w:rsidRPr="008A0770">
              <w:rPr>
                <w:b/>
                <w:bCs/>
                <w:sz w:val="24"/>
                <w:szCs w:val="24"/>
              </w:rPr>
              <w:t>848,550</w:t>
            </w:r>
          </w:p>
        </w:tc>
        <w:tc>
          <w:tcPr>
            <w:tcW w:w="1260" w:type="dxa"/>
            <w:vAlign w:val="center"/>
          </w:tcPr>
          <w:p w:rsidR="009C29EC" w:rsidRPr="008A0770" w:rsidRDefault="008A0666" w:rsidP="008A0770">
            <w:pPr>
              <w:pStyle w:val="TableCell"/>
              <w:rPr>
                <w:sz w:val="24"/>
                <w:szCs w:val="24"/>
              </w:rPr>
            </w:pPr>
            <w:r w:rsidRPr="008A0770">
              <w:rPr>
                <w:b/>
                <w:bCs/>
                <w:sz w:val="24"/>
                <w:szCs w:val="24"/>
              </w:rPr>
              <w:t>598,450</w:t>
            </w:r>
          </w:p>
        </w:tc>
        <w:tc>
          <w:tcPr>
            <w:tcW w:w="1260" w:type="dxa"/>
            <w:vAlign w:val="center"/>
          </w:tcPr>
          <w:p w:rsidR="009C29EC" w:rsidRPr="008A0770" w:rsidRDefault="008A0666" w:rsidP="008A0770">
            <w:pPr>
              <w:pStyle w:val="TableCell"/>
              <w:rPr>
                <w:sz w:val="24"/>
                <w:szCs w:val="24"/>
              </w:rPr>
            </w:pPr>
            <w:r w:rsidRPr="008A0770">
              <w:rPr>
                <w:b/>
                <w:bCs/>
                <w:sz w:val="24"/>
                <w:szCs w:val="24"/>
              </w:rPr>
              <w:t>250,100</w:t>
            </w:r>
          </w:p>
        </w:tc>
        <w:tc>
          <w:tcPr>
            <w:tcW w:w="1260" w:type="dxa"/>
            <w:vAlign w:val="center"/>
          </w:tcPr>
          <w:p w:rsidR="009C29EC" w:rsidRPr="008A0770" w:rsidRDefault="009C29EC" w:rsidP="008A0770">
            <w:pPr>
              <w:pStyle w:val="TableCell"/>
              <w:rPr>
                <w:sz w:val="24"/>
                <w:szCs w:val="24"/>
              </w:rPr>
            </w:pPr>
          </w:p>
        </w:tc>
        <w:tc>
          <w:tcPr>
            <w:tcW w:w="1260" w:type="dxa"/>
            <w:vAlign w:val="center"/>
          </w:tcPr>
          <w:p w:rsidR="009C29EC" w:rsidRPr="008A0770" w:rsidRDefault="009C29EC" w:rsidP="008A0770">
            <w:pPr>
              <w:pStyle w:val="TableCell"/>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w:t>
      </w:r>
      <w:proofErr w:type="spellStart"/>
      <w:r>
        <w:rPr>
          <w:szCs w:val="24"/>
        </w:rPr>
        <w:t>behaviour</w:t>
      </w:r>
      <w:proofErr w:type="spellEnd"/>
      <w:r>
        <w:rPr>
          <w:szCs w:val="24"/>
        </w:rPr>
        <w:t xml:space="preserve"> exists.</w:t>
      </w:r>
    </w:p>
    <w:p w:rsidR="00F36560" w:rsidRDefault="006C7058">
      <w:pPr>
        <w:pStyle w:val="BodyPara"/>
      </w:pPr>
      <w:r>
        <w:t xml:space="preserve">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w:t>
      </w:r>
      <w:proofErr w:type="spellStart"/>
      <w:r>
        <w:t>normalise</w:t>
      </w:r>
      <w:proofErr w:type="spellEnd"/>
      <w:r>
        <w:t xml:space="preserv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0" w:name="_Toc238621501"/>
      <w:r>
        <w:rPr>
          <w:szCs w:val="24"/>
        </w:rPr>
        <w:t>Table 4.3: Unit cost of production, farm 26</w:t>
      </w:r>
      <w:bookmarkEnd w:id="11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cantSplit/>
          <w:tblHeader/>
          <w:jc w:val="center"/>
        </w:trPr>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100 kg</w:t>
            </w:r>
          </w:p>
        </w:tc>
        <w:tc>
          <w:tcPr>
            <w:tcW w:w="2001" w:type="dxa"/>
            <w:vAlign w:val="center"/>
          </w:tcPr>
          <w:p w:rsidR="009C29EC" w:rsidRPr="003A60A6" w:rsidRDefault="008A0666">
            <w:pPr>
              <w:pStyle w:val="TableCell"/>
              <w:rPr>
                <w:sz w:val="24"/>
                <w:szCs w:val="24"/>
              </w:rPr>
            </w:pPr>
            <w:r w:rsidRPr="003A60A6">
              <w:rPr>
                <w:b/>
                <w:bCs/>
                <w:sz w:val="24"/>
                <w:szCs w:val="24"/>
              </w:rPr>
              <w:t>₦35.00 / kg</w:t>
            </w:r>
          </w:p>
        </w:tc>
        <w:tc>
          <w:tcPr>
            <w:tcW w:w="1501" w:type="dxa"/>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Cassava</w:t>
            </w:r>
          </w:p>
        </w:tc>
        <w:tc>
          <w:tcPr>
            <w:tcW w:w="1501" w:type="dxa"/>
            <w:vAlign w:val="center"/>
          </w:tcPr>
          <w:p w:rsidR="009C29EC" w:rsidRPr="003A60A6" w:rsidRDefault="008A0666">
            <w:pPr>
              <w:pStyle w:val="TableCell"/>
              <w:rPr>
                <w:sz w:val="24"/>
                <w:szCs w:val="24"/>
              </w:rPr>
            </w:pPr>
            <w:r w:rsidRPr="003A60A6">
              <w:rPr>
                <w:sz w:val="24"/>
                <w:szCs w:val="24"/>
              </w:rPr>
              <w:t>Harvest mass</w:t>
            </w:r>
          </w:p>
        </w:tc>
        <w:tc>
          <w:tcPr>
            <w:tcW w:w="2000" w:type="dxa"/>
            <w:vAlign w:val="center"/>
          </w:tcPr>
          <w:p w:rsidR="009C29EC" w:rsidRPr="003A60A6" w:rsidRDefault="008A0666">
            <w:pPr>
              <w:pStyle w:val="TableCell"/>
              <w:rPr>
                <w:sz w:val="24"/>
                <w:szCs w:val="24"/>
              </w:rPr>
            </w:pPr>
            <w:r w:rsidRPr="003A60A6">
              <w:rPr>
                <w:sz w:val="24"/>
                <w:szCs w:val="24"/>
              </w:rPr>
              <w:t>1,880 kg</w:t>
            </w:r>
          </w:p>
        </w:tc>
        <w:tc>
          <w:tcPr>
            <w:tcW w:w="2001" w:type="dxa"/>
            <w:vAlign w:val="center"/>
          </w:tcPr>
          <w:p w:rsidR="009C29EC" w:rsidRPr="003A60A6" w:rsidRDefault="008A0666">
            <w:pPr>
              <w:pStyle w:val="TableCell"/>
              <w:rPr>
                <w:sz w:val="24"/>
                <w:szCs w:val="24"/>
              </w:rPr>
            </w:pPr>
            <w:r w:rsidRPr="003A60A6">
              <w:rPr>
                <w:sz w:val="24"/>
                <w:szCs w:val="24"/>
              </w:rPr>
              <w:t>₦50.21 / kg</w:t>
            </w:r>
          </w:p>
        </w:tc>
        <w:tc>
          <w:tcPr>
            <w:tcW w:w="1501" w:type="dxa"/>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w:t>
      </w:r>
      <w:r>
        <w:rPr>
          <w:szCs w:val="24"/>
        </w:rPr>
        <w:lastRenderedPageBreak/>
        <w:t>₦63.40 per kilogram. The two crops differ in how much the basis matters, and the 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1" w:name="_Toc238621438"/>
      <w:r>
        <w:rPr>
          <w:szCs w:val="24"/>
        </w:rPr>
        <w:t>4.4.1 Retrospective break-even yield</w:t>
      </w:r>
      <w:bookmarkEnd w:id="111"/>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2" w:name="_Toc238621502"/>
      <w:r>
        <w:rPr>
          <w:szCs w:val="24"/>
        </w:rPr>
        <w:t>Table 4.4: Retrospective break-even yield, farm 26</w:t>
      </w:r>
      <w:bookmarkEnd w:id="11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cantSplit/>
          <w:tblHeader/>
          <w:jc w:val="center"/>
        </w:trPr>
        <w:tc>
          <w:tcPr>
            <w:tcW w:w="1343"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Crop</w:t>
            </w:r>
          </w:p>
        </w:tc>
        <w:tc>
          <w:tcPr>
            <w:tcW w:w="1791"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Recorded cost (₦)</w:t>
            </w:r>
          </w:p>
        </w:tc>
        <w:tc>
          <w:tcPr>
            <w:tcW w:w="1790" w:type="dxa"/>
            <w:tcBorders>
              <w:bottom w:val="single" w:sz="8" w:space="0" w:color="auto"/>
            </w:tcBorders>
            <w:vAlign w:val="center"/>
          </w:tcPr>
          <w:p w:rsidR="009C29EC" w:rsidRPr="004F5D51" w:rsidRDefault="008A0666" w:rsidP="004F5D51">
            <w:pPr>
              <w:pStyle w:val="TableCell"/>
              <w:rPr>
                <w:sz w:val="24"/>
                <w:szCs w:val="24"/>
              </w:rPr>
            </w:pPr>
            <w:proofErr w:type="spellStart"/>
            <w:r w:rsidRPr="004F5D51">
              <w:rPr>
                <w:b/>
                <w:bCs/>
                <w:sz w:val="24"/>
                <w:szCs w:val="24"/>
              </w:rPr>
              <w:t>Realised</w:t>
            </w:r>
            <w:proofErr w:type="spellEnd"/>
            <w:r w:rsidRPr="004F5D51">
              <w:rPr>
                <w:b/>
                <w:bCs/>
                <w:sz w:val="24"/>
                <w:szCs w:val="24"/>
              </w:rPr>
              <w:t xml:space="preserve"> price (₦/kg)</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Break-even yield</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Actual yield</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Maize</w:t>
            </w:r>
          </w:p>
        </w:tc>
        <w:tc>
          <w:tcPr>
            <w:tcW w:w="1791" w:type="dxa"/>
            <w:vAlign w:val="center"/>
          </w:tcPr>
          <w:p w:rsidR="009C29EC" w:rsidRPr="004F5D51" w:rsidRDefault="008A0666" w:rsidP="004F5D51">
            <w:pPr>
              <w:pStyle w:val="TableCell"/>
              <w:rPr>
                <w:sz w:val="24"/>
                <w:szCs w:val="24"/>
              </w:rPr>
            </w:pPr>
            <w:r w:rsidRPr="004F5D51">
              <w:rPr>
                <w:sz w:val="24"/>
                <w:szCs w:val="24"/>
              </w:rPr>
              <w:t>3,500</w:t>
            </w:r>
          </w:p>
        </w:tc>
        <w:tc>
          <w:tcPr>
            <w:tcW w:w="1790" w:type="dxa"/>
            <w:vAlign w:val="center"/>
          </w:tcPr>
          <w:p w:rsidR="009C29EC" w:rsidRPr="004F5D51" w:rsidRDefault="008A0666" w:rsidP="004F5D51">
            <w:pPr>
              <w:pStyle w:val="TableCell"/>
              <w:rPr>
                <w:sz w:val="24"/>
                <w:szCs w:val="24"/>
              </w:rPr>
            </w:pPr>
            <w:r w:rsidRPr="004F5D51">
              <w:rPr>
                <w:sz w:val="24"/>
                <w:szCs w:val="24"/>
              </w:rPr>
              <w:t>450.00</w:t>
            </w:r>
          </w:p>
        </w:tc>
        <w:tc>
          <w:tcPr>
            <w:tcW w:w="1790" w:type="dxa"/>
            <w:vAlign w:val="center"/>
          </w:tcPr>
          <w:p w:rsidR="009C29EC" w:rsidRPr="004F5D51" w:rsidRDefault="008A0666" w:rsidP="004F5D51">
            <w:pPr>
              <w:pStyle w:val="TableCell"/>
              <w:rPr>
                <w:sz w:val="24"/>
                <w:szCs w:val="24"/>
              </w:rPr>
            </w:pPr>
            <w:r w:rsidRPr="004F5D51">
              <w:rPr>
                <w:b/>
                <w:bCs/>
                <w:sz w:val="24"/>
                <w:szCs w:val="24"/>
              </w:rPr>
              <w:t>7.78 kg</w:t>
            </w:r>
          </w:p>
        </w:tc>
        <w:tc>
          <w:tcPr>
            <w:tcW w:w="1790" w:type="dxa"/>
            <w:vAlign w:val="center"/>
          </w:tcPr>
          <w:p w:rsidR="009C29EC" w:rsidRPr="004F5D51" w:rsidRDefault="008A0666" w:rsidP="004F5D51">
            <w:pPr>
              <w:pStyle w:val="TableCell"/>
              <w:rPr>
                <w:sz w:val="24"/>
                <w:szCs w:val="24"/>
              </w:rPr>
            </w:pPr>
            <w:r w:rsidRPr="004F5D51">
              <w:rPr>
                <w:sz w:val="24"/>
                <w:szCs w:val="24"/>
              </w:rPr>
              <w:t>100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Cassava</w:t>
            </w:r>
          </w:p>
        </w:tc>
        <w:tc>
          <w:tcPr>
            <w:tcW w:w="1791" w:type="dxa"/>
            <w:vAlign w:val="center"/>
          </w:tcPr>
          <w:p w:rsidR="009C29EC" w:rsidRPr="004F5D51" w:rsidRDefault="008A0666" w:rsidP="004F5D51">
            <w:pPr>
              <w:pStyle w:val="TableCell"/>
              <w:rPr>
                <w:sz w:val="24"/>
                <w:szCs w:val="24"/>
              </w:rPr>
            </w:pPr>
            <w:r w:rsidRPr="004F5D51">
              <w:rPr>
                <w:sz w:val="24"/>
                <w:szCs w:val="24"/>
              </w:rPr>
              <w:t>94,400</w:t>
            </w:r>
          </w:p>
        </w:tc>
        <w:tc>
          <w:tcPr>
            <w:tcW w:w="1790" w:type="dxa"/>
            <w:vAlign w:val="center"/>
          </w:tcPr>
          <w:p w:rsidR="009C29EC" w:rsidRPr="004F5D51" w:rsidRDefault="008A0666" w:rsidP="004F5D51">
            <w:pPr>
              <w:pStyle w:val="TableCell"/>
              <w:rPr>
                <w:sz w:val="24"/>
                <w:szCs w:val="24"/>
              </w:rPr>
            </w:pPr>
            <w:r w:rsidRPr="004F5D51">
              <w:rPr>
                <w:sz w:val="24"/>
                <w:szCs w:val="24"/>
              </w:rPr>
              <w:t>95.00</w:t>
            </w:r>
          </w:p>
        </w:tc>
        <w:tc>
          <w:tcPr>
            <w:tcW w:w="1790" w:type="dxa"/>
            <w:vAlign w:val="center"/>
          </w:tcPr>
          <w:p w:rsidR="009C29EC" w:rsidRPr="004F5D51" w:rsidRDefault="008A0666" w:rsidP="004F5D51">
            <w:pPr>
              <w:pStyle w:val="TableCell"/>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rPr>
                <w:sz w:val="24"/>
                <w:szCs w:val="24"/>
              </w:rPr>
            </w:pPr>
            <w:r w:rsidRPr="004F5D51">
              <w:rPr>
                <w:sz w:val="24"/>
                <w:szCs w:val="24"/>
              </w:rPr>
              <w:t>1,880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Cowpea</w:t>
            </w:r>
          </w:p>
        </w:tc>
        <w:tc>
          <w:tcPr>
            <w:tcW w:w="1791" w:type="dxa"/>
            <w:vAlign w:val="center"/>
          </w:tcPr>
          <w:p w:rsidR="009C29EC" w:rsidRPr="004F5D51" w:rsidRDefault="008A0666" w:rsidP="004F5D51">
            <w:pPr>
              <w:pStyle w:val="TableCell"/>
              <w:rPr>
                <w:sz w:val="24"/>
                <w:szCs w:val="24"/>
              </w:rPr>
            </w:pPr>
            <w:r w:rsidRPr="004F5D51">
              <w:rPr>
                <w:sz w:val="24"/>
                <w:szCs w:val="24"/>
              </w:rPr>
              <w:t>267,700</w:t>
            </w:r>
          </w:p>
        </w:tc>
        <w:tc>
          <w:tcPr>
            <w:tcW w:w="1790" w:type="dxa"/>
            <w:vAlign w:val="center"/>
          </w:tcPr>
          <w:p w:rsidR="009C29EC" w:rsidRPr="004F5D51" w:rsidRDefault="008A0666" w:rsidP="004F5D51">
            <w:pPr>
              <w:pStyle w:val="TableCell"/>
              <w:rPr>
                <w:sz w:val="24"/>
                <w:szCs w:val="24"/>
              </w:rPr>
            </w:pPr>
            <w:r w:rsidRPr="004F5D51">
              <w:rPr>
                <w:sz w:val="24"/>
                <w:szCs w:val="24"/>
              </w:rPr>
              <w:t>1,301.98</w:t>
            </w:r>
          </w:p>
        </w:tc>
        <w:tc>
          <w:tcPr>
            <w:tcW w:w="1790" w:type="dxa"/>
            <w:vAlign w:val="center"/>
          </w:tcPr>
          <w:p w:rsidR="009C29EC" w:rsidRPr="004F5D51" w:rsidRDefault="008A0666" w:rsidP="004F5D51">
            <w:pPr>
              <w:pStyle w:val="TableCell"/>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rPr>
                <w:sz w:val="24"/>
                <w:szCs w:val="24"/>
              </w:rPr>
            </w:pPr>
            <w:r w:rsidRPr="004F5D51">
              <w:rPr>
                <w:sz w:val="24"/>
                <w:szCs w:val="24"/>
              </w:rPr>
              <w:t>480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Tomato</w:t>
            </w:r>
          </w:p>
        </w:tc>
        <w:tc>
          <w:tcPr>
            <w:tcW w:w="1791" w:type="dxa"/>
            <w:vAlign w:val="center"/>
          </w:tcPr>
          <w:p w:rsidR="009C29EC" w:rsidRPr="004F5D51" w:rsidRDefault="008A0666" w:rsidP="004F5D51">
            <w:pPr>
              <w:pStyle w:val="TableCell"/>
              <w:rPr>
                <w:sz w:val="24"/>
                <w:szCs w:val="24"/>
              </w:rPr>
            </w:pPr>
            <w:r w:rsidRPr="004F5D51">
              <w:rPr>
                <w:sz w:val="24"/>
                <w:szCs w:val="24"/>
              </w:rPr>
              <w:t>112,900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Sorghum</w:t>
            </w:r>
          </w:p>
        </w:tc>
        <w:tc>
          <w:tcPr>
            <w:tcW w:w="1791" w:type="dxa"/>
            <w:vAlign w:val="center"/>
          </w:tcPr>
          <w:p w:rsidR="009C29EC" w:rsidRPr="004F5D51" w:rsidRDefault="008A0666" w:rsidP="004F5D51">
            <w:pPr>
              <w:pStyle w:val="TableCell"/>
              <w:rPr>
                <w:sz w:val="24"/>
                <w:szCs w:val="24"/>
              </w:rPr>
            </w:pPr>
            <w:r w:rsidRPr="004F5D51">
              <w:rPr>
                <w:sz w:val="24"/>
                <w:szCs w:val="24"/>
              </w:rPr>
              <w:t>119,950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 xml:space="preserve">Table 4.4 sets each crop’s recorded cost and </w:t>
      </w:r>
      <w:proofErr w:type="spellStart"/>
      <w:r>
        <w:rPr>
          <w:szCs w:val="24"/>
        </w:rPr>
        <w:t>realised</w:t>
      </w:r>
      <w:proofErr w:type="spellEnd"/>
      <w:r>
        <w:rPr>
          <w:szCs w:val="24"/>
        </w:rPr>
        <w:t xml:space="preserve"> price against the output that would have covered them. The maize record covered its recorded cash costs within the first eight kilograms sold. The nulls are as informative as the numbers: where no sale has been recorded there is no </w:t>
      </w:r>
      <w:proofErr w:type="spellStart"/>
      <w:r>
        <w:rPr>
          <w:szCs w:val="24"/>
        </w:rPr>
        <w:t>realised</w:t>
      </w:r>
      <w:proofErr w:type="spellEnd"/>
      <w:r>
        <w:rPr>
          <w:szCs w:val="24"/>
        </w:rPr>
        <w:t xml:space="preserve">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3" w:name="_Toc238621443"/>
      <w:r>
        <w:rPr>
          <w:szCs w:val="24"/>
        </w:rPr>
        <w:t>4.4.2 Dual break-even price and yield sensitivity</w:t>
      </w:r>
      <w:bookmarkEnd w:id="113"/>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4" w:name="_Toc238621505"/>
      <w:r>
        <w:rPr>
          <w:szCs w:val="24"/>
        </w:rPr>
        <w:lastRenderedPageBreak/>
        <w:t>Table 4.5: Break-even price, maize and cowpea, farm 26</w:t>
      </w:r>
      <w:bookmarkEnd w:id="11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cantSplit/>
          <w:tblHeader/>
          <w:jc w:val="center"/>
        </w:trPr>
        <w:tc>
          <w:tcPr>
            <w:tcW w:w="3404" w:type="dxa"/>
            <w:tcBorders>
              <w:bottom w:val="single" w:sz="8" w:space="0" w:color="auto"/>
            </w:tcBorders>
            <w:vAlign w:val="center"/>
          </w:tcPr>
          <w:p w:rsidR="009C29EC" w:rsidRDefault="008A0666">
            <w:pPr>
              <w:pStyle w:val="TableCell"/>
            </w:pPr>
            <w:r>
              <w:rPr>
                <w:b/>
                <w:bCs/>
                <w:sz w:val="22"/>
              </w:rPr>
              <w:t>Quantity</w:t>
            </w:r>
          </w:p>
        </w:tc>
        <w:tc>
          <w:tcPr>
            <w:tcW w:w="2550" w:type="dxa"/>
            <w:tcBorders>
              <w:bottom w:val="single" w:sz="8" w:space="0" w:color="auto"/>
            </w:tcBorders>
            <w:vAlign w:val="center"/>
          </w:tcPr>
          <w:p w:rsidR="009C29EC" w:rsidRDefault="008A0666">
            <w:pPr>
              <w:pStyle w:val="TableCell"/>
            </w:pPr>
            <w:r>
              <w:rPr>
                <w:b/>
                <w:bCs/>
                <w:sz w:val="22"/>
              </w:rPr>
              <w:t>Maize</w:t>
            </w:r>
          </w:p>
        </w:tc>
        <w:tc>
          <w:tcPr>
            <w:tcW w:w="2550" w:type="dxa"/>
            <w:tcBorders>
              <w:bottom w:val="single" w:sz="8" w:space="0" w:color="auto"/>
            </w:tcBorders>
            <w:vAlign w:val="center"/>
          </w:tcPr>
          <w:p w:rsidR="009C29EC" w:rsidRDefault="008A0666">
            <w:pPr>
              <w:pStyle w:val="TableCell"/>
            </w:pPr>
            <w:r>
              <w:rPr>
                <w:b/>
                <w:bCs/>
                <w:sz w:val="22"/>
              </w:rPr>
              <w:t>Cowpea</w:t>
            </w:r>
          </w:p>
        </w:tc>
      </w:tr>
      <w:tr w:rsidR="009C29EC">
        <w:trPr>
          <w:cantSplit/>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cantSplit/>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cantSplit/>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cantSplit/>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cantSplit/>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cantSplit/>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cantSplit/>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w:t>
      </w:r>
      <w:proofErr w:type="spellStart"/>
      <w:r>
        <w:rPr>
          <w:szCs w:val="24"/>
        </w:rPr>
        <w:t>behaviour</w:t>
      </w:r>
      <w:proofErr w:type="spellEnd"/>
      <w:r>
        <w:rPr>
          <w:szCs w:val="24"/>
        </w:rPr>
        <w:t xml:space="preserve"> it was not given. A wider gap between the two prices is therefore not by itself evidence of a heavier asset 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5" w:name="_Toc238621506"/>
      <w:r>
        <w:rPr>
          <w:szCs w:val="24"/>
        </w:rPr>
        <w:t>Table 4.6: Yield sensitivity matrix, maize, farm 26</w:t>
      </w:r>
      <w:bookmarkEnd w:id="115"/>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cantSplit/>
          <w:tblHeader/>
          <w:jc w:val="center"/>
        </w:trPr>
        <w:tc>
          <w:tcPr>
            <w:tcW w:w="2126" w:type="dxa"/>
            <w:tcBorders>
              <w:bottom w:val="single" w:sz="8" w:space="0" w:color="auto"/>
            </w:tcBorders>
            <w:vAlign w:val="center"/>
          </w:tcPr>
          <w:p w:rsidR="009C29EC" w:rsidRDefault="008A0666">
            <w:pPr>
              <w:pStyle w:val="TableCell"/>
            </w:pPr>
            <w:r>
              <w:rPr>
                <w:b/>
                <w:bCs/>
                <w:sz w:val="22"/>
              </w:rPr>
              <w:t>Yield scenario</w:t>
            </w:r>
          </w:p>
        </w:tc>
        <w:tc>
          <w:tcPr>
            <w:tcW w:w="2126" w:type="dxa"/>
            <w:tcBorders>
              <w:bottom w:val="single" w:sz="8" w:space="0" w:color="auto"/>
            </w:tcBorders>
            <w:vAlign w:val="center"/>
          </w:tcPr>
          <w:p w:rsidR="009C29EC" w:rsidRDefault="008A0666">
            <w:pPr>
              <w:pStyle w:val="TableCell"/>
            </w:pPr>
            <w:r>
              <w:rPr>
                <w:b/>
                <w:bCs/>
                <w:sz w:val="22"/>
              </w:rPr>
              <w:t>Marketable mass</w:t>
            </w:r>
          </w:p>
        </w:tc>
        <w:tc>
          <w:tcPr>
            <w:tcW w:w="2126" w:type="dxa"/>
            <w:tcBorders>
              <w:bottom w:val="single" w:sz="8" w:space="0" w:color="auto"/>
            </w:tcBorders>
            <w:vAlign w:val="center"/>
          </w:tcPr>
          <w:p w:rsidR="009C29EC" w:rsidRDefault="008A0666">
            <w:pPr>
              <w:pStyle w:val="TableCell"/>
            </w:pPr>
            <w:r>
              <w:rPr>
                <w:b/>
                <w:bCs/>
                <w:sz w:val="22"/>
              </w:rPr>
              <w:t>Break-even price, cash</w:t>
            </w:r>
          </w:p>
        </w:tc>
        <w:tc>
          <w:tcPr>
            <w:tcW w:w="2126" w:type="dxa"/>
            <w:tcBorders>
              <w:bottom w:val="single" w:sz="8" w:space="0" w:color="auto"/>
            </w:tcBorders>
            <w:vAlign w:val="center"/>
          </w:tcPr>
          <w:p w:rsidR="009C29EC" w:rsidRDefault="008A0666">
            <w:pPr>
              <w:pStyle w:val="TableCell"/>
            </w:pPr>
            <w:r>
              <w:rPr>
                <w:b/>
                <w:bCs/>
                <w:sz w:val="22"/>
              </w:rPr>
              <w:t>Break-even price, total</w:t>
            </w:r>
          </w:p>
        </w:tc>
      </w:tr>
      <w:tr w:rsidR="009C29EC">
        <w:trPr>
          <w:cantSplit/>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cantSplit/>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cantSplit/>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cantSplit/>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cantSplit/>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6" w:name="_Toc238621447"/>
      <w:r>
        <w:rPr>
          <w:szCs w:val="24"/>
        </w:rPr>
        <w:t>4.5.1 Verification by designed fixture</w:t>
      </w:r>
      <w:bookmarkEnd w:id="116"/>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w:t>
      </w:r>
      <w:proofErr w:type="spellStart"/>
      <w:proofErr w:type="gramStart"/>
      <w:r>
        <w:rPr>
          <w:szCs w:val="24"/>
        </w:rPr>
        <w:t>exp</w:t>
      </w:r>
      <w:proofErr w:type="spellEnd"/>
      <w:r>
        <w:rPr>
          <w:szCs w:val="24"/>
        </w:rPr>
        <w:t>(</w:t>
      </w:r>
      <w:proofErr w:type="gramEnd"/>
      <w:r>
        <w:rPr>
          <w:szCs w:val="24"/>
        </w:rPr>
        <w:t>−</w:t>
      </w:r>
      <w:proofErr w:type="spellStart"/>
      <w:r>
        <w:rPr>
          <w:szCs w:val="24"/>
        </w:rPr>
        <w:t>k·t</w:t>
      </w:r>
      <w:proofErr w:type="spellEnd"/>
      <w:r>
        <w:rPr>
          <w:szCs w:val="24"/>
        </w:rPr>
        <w:t xml:space="preserve">ⁿ), is </w:t>
      </w:r>
      <w:proofErr w:type="spellStart"/>
      <w:r>
        <w:rPr>
          <w:szCs w:val="24"/>
        </w:rPr>
        <w:t>linearised</w:t>
      </w:r>
      <w:proofErr w:type="spellEnd"/>
      <w:r>
        <w:rPr>
          <w:szCs w:val="24"/>
        </w:rPr>
        <w:t xml:space="preserve"> by the double logarithm ln(−ln MR) = ln k + </w:t>
      </w:r>
      <w:proofErr w:type="spellStart"/>
      <w:r>
        <w:rPr>
          <w:szCs w:val="24"/>
        </w:rPr>
        <w:t>n·ln</w:t>
      </w:r>
      <w:proofErr w:type="spellEnd"/>
      <w:r>
        <w:rPr>
          <w:szCs w:val="24"/>
        </w:rPr>
        <w:t xml:space="preserve"> t and its parameters recovered by least-squares regression on that transform. A moisture-ratio series generated from an initial moisture content of 30.0% wet </w:t>
      </w:r>
      <w:r>
        <w:rPr>
          <w:szCs w:val="24"/>
        </w:rPr>
        <w:lastRenderedPageBreak/>
        <w:t xml:space="preserve">basis with known parameters k = 0.30 and n = 0.75 is recovered to those values within a relative tolerance of 1×10⁻⁴, which establishes that the </w:t>
      </w:r>
      <w:proofErr w:type="spellStart"/>
      <w:r>
        <w:rPr>
          <w:szCs w:val="24"/>
        </w:rPr>
        <w:t>linearisation</w:t>
      </w:r>
      <w:proofErr w:type="spellEnd"/>
      <w:r>
        <w:rPr>
          <w:szCs w:val="24"/>
        </w:rPr>
        <w:t>,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w:t>
      </w:r>
      <w:proofErr w:type="spellStart"/>
      <w:r>
        <w:rPr>
          <w:szCs w:val="24"/>
        </w:rPr>
        <w:t>unrecognised</w:t>
      </w:r>
      <w:proofErr w:type="spellEnd"/>
      <w:r>
        <w:rPr>
          <w:szCs w:val="24"/>
        </w:rPr>
        <w:t xml:space="preserve">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7" w:name="_Toc238621448"/>
      <w:r>
        <w:rPr>
          <w:szCs w:val="24"/>
        </w:rPr>
        <w:t>4.5.2 The seeded drying run in full</w:t>
      </w:r>
      <w:bookmarkEnd w:id="117"/>
    </w:p>
    <w:p w:rsidR="009C29EC" w:rsidRDefault="009C29EC">
      <w:pPr>
        <w:pStyle w:val="BodyPara"/>
        <w:spacing w:after="120" w:line="240" w:lineRule="auto"/>
      </w:pPr>
    </w:p>
    <w:p w:rsidR="009C29EC" w:rsidRDefault="008A0666">
      <w:pPr>
        <w:pStyle w:val="TableCaption"/>
      </w:pPr>
      <w:bookmarkStart w:id="118" w:name="_Toc238621508"/>
      <w:r>
        <w:rPr>
          <w:szCs w:val="24"/>
        </w:rPr>
        <w:lastRenderedPageBreak/>
        <w:t>Table 4.7: Per-crop drying summary, farm 26</w:t>
      </w:r>
      <w:bookmarkEnd w:id="118"/>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cantSplit/>
          <w:tblHeader/>
          <w:jc w:val="center"/>
        </w:trPr>
        <w:tc>
          <w:tcPr>
            <w:tcW w:w="823" w:type="dxa"/>
            <w:tcBorders>
              <w:bottom w:val="single" w:sz="8" w:space="0" w:color="auto"/>
            </w:tcBorders>
            <w:vAlign w:val="center"/>
          </w:tcPr>
          <w:p w:rsidR="009C29EC" w:rsidRDefault="008A0666">
            <w:pPr>
              <w:pStyle w:val="TableCell"/>
            </w:pPr>
            <w:r>
              <w:rPr>
                <w:b/>
                <w:bCs/>
                <w:szCs w:val="20"/>
              </w:rPr>
              <w:t>Crop</w:t>
            </w:r>
          </w:p>
        </w:tc>
        <w:tc>
          <w:tcPr>
            <w:tcW w:w="1099" w:type="dxa"/>
            <w:tcBorders>
              <w:bottom w:val="single" w:sz="8" w:space="0" w:color="auto"/>
            </w:tcBorders>
            <w:vAlign w:val="center"/>
          </w:tcPr>
          <w:p w:rsidR="009C29EC" w:rsidRDefault="008A0666">
            <w:pPr>
              <w:pStyle w:val="TableCell"/>
            </w:pPr>
            <w:r>
              <w:rPr>
                <w:b/>
                <w:bCs/>
                <w:szCs w:val="20"/>
              </w:rPr>
              <w:t>Runs</w:t>
            </w:r>
          </w:p>
        </w:tc>
        <w:tc>
          <w:tcPr>
            <w:tcW w:w="1097" w:type="dxa"/>
            <w:tcBorders>
              <w:bottom w:val="single" w:sz="8" w:space="0" w:color="auto"/>
            </w:tcBorders>
            <w:vAlign w:val="center"/>
          </w:tcPr>
          <w:p w:rsidR="009C29EC" w:rsidRDefault="008A0666">
            <w:pPr>
              <w:pStyle w:val="TableCell"/>
            </w:pPr>
            <w:r>
              <w:rPr>
                <w:b/>
                <w:bCs/>
                <w:szCs w:val="20"/>
              </w:rPr>
              <w:t>Mass in</w:t>
            </w:r>
          </w:p>
        </w:tc>
        <w:tc>
          <w:tcPr>
            <w:tcW w:w="1097" w:type="dxa"/>
            <w:tcBorders>
              <w:bottom w:val="single" w:sz="8" w:space="0" w:color="auto"/>
            </w:tcBorders>
            <w:vAlign w:val="center"/>
          </w:tcPr>
          <w:p w:rsidR="009C29EC" w:rsidRDefault="008A0666">
            <w:pPr>
              <w:pStyle w:val="TableCell"/>
            </w:pPr>
            <w:r>
              <w:rPr>
                <w:b/>
                <w:bCs/>
                <w:szCs w:val="20"/>
              </w:rPr>
              <w:t>Marketable mass</w:t>
            </w:r>
          </w:p>
        </w:tc>
        <w:tc>
          <w:tcPr>
            <w:tcW w:w="1097" w:type="dxa"/>
            <w:tcBorders>
              <w:bottom w:val="single" w:sz="8" w:space="0" w:color="auto"/>
            </w:tcBorders>
            <w:vAlign w:val="center"/>
          </w:tcPr>
          <w:p w:rsidR="009C29EC" w:rsidRDefault="008A0666">
            <w:pPr>
              <w:pStyle w:val="TableCell"/>
            </w:pPr>
            <w:r>
              <w:rPr>
                <w:b/>
                <w:bCs/>
                <w:szCs w:val="20"/>
              </w:rPr>
              <w:t>Water removed</w:t>
            </w:r>
          </w:p>
        </w:tc>
        <w:tc>
          <w:tcPr>
            <w:tcW w:w="1097" w:type="dxa"/>
            <w:tcBorders>
              <w:bottom w:val="single" w:sz="8" w:space="0" w:color="auto"/>
            </w:tcBorders>
            <w:vAlign w:val="center"/>
          </w:tcPr>
          <w:p w:rsidR="009C29EC" w:rsidRDefault="008A0666">
            <w:pPr>
              <w:pStyle w:val="TableCell"/>
            </w:pPr>
            <w:r>
              <w:rPr>
                <w:b/>
                <w:bCs/>
                <w:szCs w:val="20"/>
              </w:rPr>
              <w:t>Mean drying rate</w:t>
            </w:r>
          </w:p>
        </w:tc>
        <w:tc>
          <w:tcPr>
            <w:tcW w:w="1097" w:type="dxa"/>
            <w:tcBorders>
              <w:bottom w:val="single" w:sz="8" w:space="0" w:color="auto"/>
            </w:tcBorders>
            <w:vAlign w:val="center"/>
          </w:tcPr>
          <w:p w:rsidR="009C29EC" w:rsidRDefault="008A0666">
            <w:pPr>
              <w:pStyle w:val="TableCell"/>
            </w:pPr>
            <w:r>
              <w:rPr>
                <w:b/>
                <w:bCs/>
                <w:szCs w:val="20"/>
              </w:rPr>
              <w:t>Mean Newton k (solar dryer)</w:t>
            </w:r>
          </w:p>
        </w:tc>
        <w:tc>
          <w:tcPr>
            <w:tcW w:w="1097" w:type="dxa"/>
            <w:tcBorders>
              <w:bottom w:val="single" w:sz="8" w:space="0" w:color="auto"/>
            </w:tcBorders>
            <w:vAlign w:val="center"/>
          </w:tcPr>
          <w:p w:rsidR="009C29EC" w:rsidRDefault="008A0666">
            <w:pPr>
              <w:pStyle w:val="TableCell"/>
            </w:pPr>
            <w:r>
              <w:rPr>
                <w:b/>
                <w:bCs/>
                <w:szCs w:val="20"/>
              </w:rPr>
              <w:t>Safe-storage share</w:t>
            </w:r>
          </w:p>
        </w:tc>
      </w:tr>
      <w:tr w:rsidR="009C29EC">
        <w:trPr>
          <w:cantSplit/>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cantSplit/>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 xml:space="preserve">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w:t>
      </w:r>
      <w:proofErr w:type="gramStart"/>
      <w:r>
        <w:rPr>
          <w:szCs w:val="24"/>
        </w:rPr>
        <w:t>its</w:t>
      </w:r>
      <w:proofErr w:type="gramEnd"/>
      <w:r>
        <w:rPr>
          <w:szCs w:val="24"/>
        </w:rPr>
        <w:t xml:space="preserve">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19" w:name="_Toc238621449"/>
      <w:r>
        <w:rPr>
          <w:szCs w:val="24"/>
        </w:rPr>
        <w:t>4.5.3 Input validation</w:t>
      </w:r>
      <w:bookmarkEnd w:id="119"/>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0" w:name="_Toc238621450"/>
      <w:r>
        <w:rPr>
          <w:szCs w:val="24"/>
        </w:rPr>
        <w:t>4.5.4 Coupling to the financial ledger</w:t>
      </w:r>
      <w:bookmarkEnd w:id="120"/>
    </w:p>
    <w:p w:rsidR="009C29EC" w:rsidRDefault="008A0666">
      <w:pPr>
        <w:pStyle w:val="BodyPara"/>
      </w:pPr>
      <w:r>
        <w:rPr>
          <w:szCs w:val="24"/>
        </w:rPr>
        <w:t xml:space="preserve">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w:t>
      </w:r>
      <w:proofErr w:type="spellStart"/>
      <w:r>
        <w:rPr>
          <w:szCs w:val="24"/>
        </w:rPr>
        <w:t>fertiliser</w:t>
      </w:r>
      <w:proofErr w:type="spellEnd"/>
      <w:r>
        <w:rPr>
          <w:szCs w:val="24"/>
        </w:rPr>
        <w:t xml:space="preserve"> application, and </w:t>
      </w:r>
      <w:proofErr w:type="gramStart"/>
      <w:r>
        <w:rPr>
          <w:szCs w:val="24"/>
        </w:rPr>
        <w:t>its</w:t>
      </w:r>
      <w:proofErr w:type="gramEnd"/>
      <w:r>
        <w:rPr>
          <w:szCs w:val="24"/>
        </w:rPr>
        <w:t xml:space="preserve">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 xml:space="preserve">Objective (ii) requires that </w:t>
      </w:r>
      <w:proofErr w:type="spellStart"/>
      <w:r>
        <w:rPr>
          <w:szCs w:val="24"/>
        </w:rPr>
        <w:t>mechanisation</w:t>
      </w:r>
      <w:proofErr w:type="spellEnd"/>
      <w:r>
        <w:rPr>
          <w:szCs w:val="24"/>
        </w:rPr>
        <w:t xml:space="preserve"> and equipment expenditure be captured within the same ledger as the operational record, and costed there. The enterprise-economics layer extends the deterministic tier from margin accounting to cost-</w:t>
      </w:r>
      <w:proofErr w:type="spellStart"/>
      <w:r>
        <w:rPr>
          <w:szCs w:val="24"/>
        </w:rPr>
        <w:t>behaviour</w:t>
      </w:r>
      <w:proofErr w:type="spellEnd"/>
      <w:r>
        <w:rPr>
          <w:szCs w:val="24"/>
        </w:rPr>
        <w:t xml:space="preserve"> analysis. All figures are live responses from farm 26 on 7 September 2026.</w:t>
      </w:r>
    </w:p>
    <w:p w:rsidR="009C29EC" w:rsidRDefault="008A0666">
      <w:pPr>
        <w:pStyle w:val="H3"/>
      </w:pPr>
      <w:bookmarkStart w:id="121" w:name="_Toc238621441"/>
      <w:r>
        <w:rPr>
          <w:szCs w:val="24"/>
        </w:rPr>
        <w:t>4.6.1 Cost structure and classification coverage</w:t>
      </w:r>
      <w:bookmarkEnd w:id="121"/>
    </w:p>
    <w:p w:rsidR="009C29EC" w:rsidRDefault="008A0666">
      <w:pPr>
        <w:pStyle w:val="TableCaption"/>
      </w:pPr>
      <w:bookmarkStart w:id="122" w:name="_Toc238621503"/>
      <w:r>
        <w:rPr>
          <w:szCs w:val="24"/>
        </w:rPr>
        <w:t>Table 4.8: Cost structure, farm 26</w:t>
      </w:r>
      <w:bookmarkEnd w:id="12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Bucket</w:t>
            </w:r>
          </w:p>
        </w:tc>
        <w:tc>
          <w:tcPr>
            <w:tcW w:w="2835" w:type="dxa"/>
            <w:tcBorders>
              <w:bottom w:val="single" w:sz="8" w:space="0" w:color="auto"/>
            </w:tcBorders>
            <w:vAlign w:val="center"/>
          </w:tcPr>
          <w:p w:rsidR="009C29EC" w:rsidRDefault="008A0666">
            <w:pPr>
              <w:pStyle w:val="TableCell"/>
            </w:pPr>
            <w:r>
              <w:rPr>
                <w:b/>
                <w:bCs/>
                <w:sz w:val="22"/>
              </w:rPr>
              <w:t>Maize (₦)</w:t>
            </w:r>
          </w:p>
        </w:tc>
        <w:tc>
          <w:tcPr>
            <w:tcW w:w="2835" w:type="dxa"/>
            <w:tcBorders>
              <w:bottom w:val="single" w:sz="8" w:space="0" w:color="auto"/>
            </w:tcBorders>
            <w:vAlign w:val="center"/>
          </w:tcPr>
          <w:p w:rsidR="009C29EC" w:rsidRDefault="008A0666">
            <w:pPr>
              <w:pStyle w:val="TableCell"/>
            </w:pPr>
            <w:r>
              <w:rPr>
                <w:b/>
                <w:bCs/>
                <w:sz w:val="22"/>
              </w:rPr>
              <w:t>Whole farm (₦)</w:t>
            </w:r>
          </w:p>
        </w:tc>
      </w:tr>
      <w:tr w:rsidR="009C29EC">
        <w:trPr>
          <w:cantSplit/>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cantSplit/>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cantSplit/>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cantSplit/>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cantSplit/>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cantSplit/>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cantSplit/>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cantSplit/>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cantSplit/>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cantSplit/>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 xml:space="preserve">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w:t>
      </w:r>
      <w:proofErr w:type="spellStart"/>
      <w:r>
        <w:rPr>
          <w:szCs w:val="24"/>
        </w:rPr>
        <w:t>mechanisation</w:t>
      </w:r>
      <w:proofErr w:type="spellEnd"/>
      <w:r>
        <w:rPr>
          <w:szCs w:val="24"/>
        </w:rPr>
        <w:t xml:space="preserve">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4.6: Farm level cost structure: 88.3% of ₦598,450 recorded cost classified by cost </w:t>
      </w:r>
      <w:proofErr w:type="spellStart"/>
      <w:r>
        <w:t>behaviour</w:t>
      </w:r>
      <w:proofErr w:type="spellEnd"/>
      <w:r>
        <w:t>, with an operating expense ratio of 68.4%</w:t>
      </w:r>
    </w:p>
    <w:p w:rsidR="009C29EC" w:rsidRDefault="008A0666">
      <w:pPr>
        <w:pStyle w:val="H3"/>
      </w:pPr>
      <w:bookmarkStart w:id="123" w:name="_Toc238621442"/>
      <w:r>
        <w:rPr>
          <w:szCs w:val="24"/>
        </w:rPr>
        <w:t>4.6.2 The depreciation overlay and fixed-cost allocation</w:t>
      </w:r>
      <w:bookmarkEnd w:id="123"/>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xml:space="preserve">.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w:t>
      </w:r>
      <w:proofErr w:type="spellStart"/>
      <w:r>
        <w:rPr>
          <w:szCs w:val="24"/>
        </w:rPr>
        <w:t>recomputable</w:t>
      </w:r>
      <w:proofErr w:type="spellEnd"/>
      <w:r>
        <w:rPr>
          <w:szCs w:val="24"/>
        </w:rPr>
        <w:t>, in the same way as every other derived figure on the platform.</w:t>
      </w:r>
    </w:p>
    <w:p w:rsidR="009C29EC" w:rsidRDefault="008A0666">
      <w:pPr>
        <w:pStyle w:val="TableCaption"/>
      </w:pPr>
      <w:bookmarkStart w:id="124" w:name="_Toc238621504"/>
      <w:r>
        <w:rPr>
          <w:szCs w:val="24"/>
        </w:rPr>
        <w:t>Table 4.9: Derived fixed-cost overlay, farm 26</w:t>
      </w:r>
      <w:bookmarkEnd w:id="12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Quantity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cantSplit/>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cantSplit/>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cantSplit/>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cantSplit/>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cantSplit/>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5" w:name="_Toc238621444"/>
      <w:r>
        <w:rPr>
          <w:szCs w:val="24"/>
        </w:rPr>
        <w:t>4.6.3 Partial budget and implementation parity</w:t>
      </w:r>
      <w:bookmarkEnd w:id="125"/>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 xml:space="preserve">Figure 4.8: Profit and loss by activity category, with </w:t>
      </w:r>
      <w:proofErr w:type="spellStart"/>
      <w:r>
        <w:t>mechanisation</w:t>
      </w:r>
      <w:proofErr w:type="spellEnd"/>
      <w:r>
        <w:t xml:space="preserve"> the largest single cost at ₦215,550</w:t>
      </w:r>
    </w:p>
    <w:p w:rsidR="009C29EC" w:rsidRDefault="008A0666">
      <w:pPr>
        <w:pStyle w:val="H3"/>
      </w:pPr>
      <w:bookmarkStart w:id="126" w:name="_Toc238621445"/>
      <w:r>
        <w:rPr>
          <w:szCs w:val="24"/>
        </w:rPr>
        <w:t>4.6.4 Yield baseline</w:t>
      </w:r>
      <w:bookmarkEnd w:id="126"/>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xml:space="preserve">,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w:t>
      </w:r>
      <w:proofErr w:type="spellStart"/>
      <w:r>
        <w:rPr>
          <w:szCs w:val="24"/>
        </w:rPr>
        <w:t>no</w:t>
      </w:r>
      <w:proofErr w:type="spellEnd"/>
      <w:r>
        <w:rPr>
          <w:szCs w:val="24"/>
        </w:rPr>
        <w:t xml:space="preserve">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w:t>
      </w:r>
      <w:proofErr w:type="spellStart"/>
      <w:r>
        <w:rPr>
          <w:szCs w:val="24"/>
        </w:rPr>
        <w:t>parameterised</w:t>
      </w:r>
      <w:proofErr w:type="spellEnd"/>
      <w:r>
        <w:rPr>
          <w:szCs w:val="24"/>
        </w:rPr>
        <w:t xml:space="preserve">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seed are all fixed; the generated dataset carries the recorded SHA-256 fingerprint given </w:t>
      </w:r>
      <w:r>
        <w:rPr>
          <w:szCs w:val="24"/>
        </w:rPr>
        <w:lastRenderedPageBreak/>
        <w:t xml:space="preserve">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w:t>
      </w:r>
      <w:proofErr w:type="spellStart"/>
      <w:r>
        <w:rPr>
          <w:szCs w:val="24"/>
        </w:rPr>
        <w:t>dataframe</w:t>
      </w:r>
      <w:proofErr w:type="spellEnd"/>
      <w:r>
        <w:rPr>
          <w:szCs w:val="24"/>
        </w:rPr>
        <w:t xml:space="preserve"> library. The earlier claim that regenerating the model would produce different figures was wrong, and it understated the </w:t>
      </w:r>
      <w:proofErr w:type="spellStart"/>
      <w:r>
        <w:rPr>
          <w:szCs w:val="24"/>
        </w:rPr>
        <w:t>rigour</w:t>
      </w:r>
      <w:proofErr w:type="spellEnd"/>
      <w:r>
        <w:rPr>
          <w:szCs w:val="24"/>
        </w:rPr>
        <w:t xml:space="preserve">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 xml:space="preserve">The second is that the tier cannot be compared against the platform’s own deterministic baseline, and the reason is structural. The Olympic-average baseline is an absolute mass per season, expressed in the unit the yield was logged in; the forecast target is an intensity, </w:t>
      </w:r>
      <w:proofErr w:type="spellStart"/>
      <w:r>
        <w:t>tonnes</w:t>
      </w:r>
      <w:proofErr w:type="spellEnd"/>
      <w:r>
        <w:t xml:space="preserve">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 xml:space="preserve">The third is coverage. The model’s crop vocabulary is maize, rice, sorghum, soybean and cassava. Cowpea and tomato are absent, and because crop is one-hot encoded they are not inaccurate inputs but </w:t>
      </w:r>
      <w:proofErr w:type="spellStart"/>
      <w:r>
        <w:t>unrepresentable</w:t>
      </w:r>
      <w:proofErr w:type="spellEnd"/>
      <w:r>
        <w:t xml:space="preserv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lastRenderedPageBreak/>
        <w:t>What the platform does do with these figures is report them honestly in the interface. Three display states are distinguished: metrics unavailable while loading; an explicit 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7" w:name="_Toc238621423"/>
      <w:r>
        <w:rPr>
          <w:szCs w:val="24"/>
        </w:rPr>
        <w:t>4.8.1 Deployed components</w:t>
      </w:r>
      <w:bookmarkEnd w:id="127"/>
    </w:p>
    <w:p w:rsidR="009C29EC" w:rsidRDefault="008A0666">
      <w:pPr>
        <w:pStyle w:val="BodyPara"/>
      </w:pPr>
      <w:r>
        <w:rPr>
          <w:szCs w:val="24"/>
        </w:rPr>
        <w:t xml:space="preserve">AGRI-PROFIT is a working end-to-end application rather than a prototype or a mockup. It runs as a three-container Docker composition: a </w:t>
      </w:r>
      <w:proofErr w:type="spellStart"/>
      <w:r>
        <w:rPr>
          <w:szCs w:val="24"/>
        </w:rPr>
        <w:t>FastAPI</w:t>
      </w:r>
      <w:proofErr w:type="spellEnd"/>
      <w:r>
        <w:rPr>
          <w:szCs w:val="24"/>
        </w:rPr>
        <w:t xml:space="preserve"> backend service, a PostgreSQL 15 database whose schema is managed by Alembic migrations, and a static server for the built Progressive Web Application. The backend is </w:t>
      </w:r>
      <w:proofErr w:type="spellStart"/>
      <w:r>
        <w:rPr>
          <w:szCs w:val="24"/>
        </w:rPr>
        <w:t>organised</w:t>
      </w:r>
      <w:proofErr w:type="spellEnd"/>
      <w:r>
        <w:rPr>
          <w:szCs w:val="24"/>
        </w:rPr>
        <w:t xml:space="preserve">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w:t>
      </w:r>
      <w:proofErr w:type="spellStart"/>
      <w:r>
        <w:rPr>
          <w:szCs w:val="24"/>
        </w:rPr>
        <w:t>organised</w:t>
      </w:r>
      <w:proofErr w:type="spellEnd"/>
      <w:r>
        <w:rPr>
          <w:szCs w:val="24"/>
        </w:rPr>
        <w:t xml:space="preserve"> by feature — farm records, decision support, dashboard, authentication and investor sharing — over a library layer providing the local database, the </w:t>
      </w:r>
      <w:proofErr w:type="spellStart"/>
      <w:r>
        <w:rPr>
          <w:szCs w:val="24"/>
        </w:rPr>
        <w:t>synchronisation</w:t>
      </w:r>
      <w:proofErr w:type="spellEnd"/>
      <w:r>
        <w:rPr>
          <w:szCs w:val="24"/>
        </w:rPr>
        <w:t xml:space="preserve"> queue, queue ownership, </w:t>
      </w:r>
      <w:r>
        <w:rPr>
          <w:szCs w:val="24"/>
        </w:rPr>
        <w:lastRenderedPageBreak/>
        <w:t xml:space="preserve">authentication token handling and the read cache, with a Workbox service worker and </w:t>
      </w:r>
      <w:proofErr w:type="spellStart"/>
      <w:r>
        <w:rPr>
          <w:szCs w:val="24"/>
        </w:rPr>
        <w:t>precache</w:t>
      </w:r>
      <w:proofErr w:type="spellEnd"/>
      <w:r>
        <w:rPr>
          <w:szCs w:val="24"/>
        </w:rPr>
        <w:t>.</w:t>
      </w:r>
    </w:p>
    <w:p w:rsidR="009C29EC" w:rsidRDefault="008A0666">
      <w:pPr>
        <w:pStyle w:val="BodyPara"/>
      </w:pPr>
      <w:r>
        <w:rPr>
          <w:szCs w:val="24"/>
        </w:rPr>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8" w:name="_Toc238621424"/>
      <w:r>
        <w:rPr>
          <w:szCs w:val="24"/>
        </w:rPr>
        <w:t>4.8.2 Functional inventory</w:t>
      </w:r>
      <w:bookmarkEnd w:id="128"/>
    </w:p>
    <w:p w:rsidR="009C29EC" w:rsidRDefault="009C29EC">
      <w:pPr>
        <w:pStyle w:val="BodyPara"/>
        <w:spacing w:after="120" w:line="240" w:lineRule="auto"/>
      </w:pPr>
    </w:p>
    <w:p w:rsidR="009C29EC" w:rsidRDefault="008A0666">
      <w:pPr>
        <w:pStyle w:val="BodyPara"/>
      </w:pPr>
      <w:r>
        <w:rPr>
          <w:szCs w:val="24"/>
        </w:rPr>
        <w:lastRenderedPageBreak/>
        <w:t>Two entries in that inventory bound what the thesis may claim. The first records that per-operation equipment attribution is captured but costed nowhere, so no machine-hour 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4.12: Recording a </w:t>
      </w:r>
      <w:proofErr w:type="spellStart"/>
      <w:r>
        <w:t>mechanisation</w:t>
      </w:r>
      <w:proofErr w:type="spellEnd"/>
      <w:r>
        <w:t xml:space="preserve">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 xml:space="preserve">Figure 4.13: Record list filtered to </w:t>
      </w:r>
      <w:proofErr w:type="spellStart"/>
      <w:r>
        <w:t>mechanisation</w:t>
      </w:r>
      <w:proofErr w:type="spellEnd"/>
      <w:r>
        <w:t xml:space="preserve"> activities</w:t>
      </w:r>
    </w:p>
    <w:p w:rsidR="009C29EC" w:rsidRDefault="008A0666">
      <w:pPr>
        <w:pStyle w:val="H3"/>
      </w:pPr>
      <w:bookmarkStart w:id="129" w:name="_Toc238621432"/>
      <w:r>
        <w:rPr>
          <w:szCs w:val="24"/>
        </w:rPr>
        <w:t>4.8.3 Components verified visually only</w:t>
      </w:r>
      <w:bookmarkEnd w:id="129"/>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w:t>
      </w:r>
      <w:r>
        <w:rPr>
          <w:szCs w:val="24"/>
        </w:rPr>
        <w:lastRenderedPageBreak/>
        <w:t>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0" w:name="_Toc238621433"/>
      <w:r>
        <w:rPr>
          <w:szCs w:val="24"/>
        </w:rPr>
        <w:t>4.8.4 Live system verification</w:t>
      </w:r>
      <w:bookmarkEnd w:id="130"/>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lastRenderedPageBreak/>
        <w:t>4.9 System Verification</w:t>
      </w:r>
    </w:p>
    <w:p w:rsidR="009C29EC" w:rsidRDefault="008A0666">
      <w:pPr>
        <w:pStyle w:val="BodyPara"/>
      </w:pPr>
      <w:r>
        <w:rPr>
          <w:szCs w:val="24"/>
        </w:rPr>
        <w:t xml:space="preserve">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w:t>
      </w:r>
      <w:proofErr w:type="spellStart"/>
      <w:r>
        <w:rPr>
          <w:szCs w:val="24"/>
        </w:rPr>
        <w:t>FastAPI</w:t>
      </w:r>
      <w:proofErr w:type="spellEnd"/>
      <w:r>
        <w:rPr>
          <w:szCs w:val="24"/>
        </w:rPr>
        <w:t xml:space="preserve"> application through its test client with a real database session, and the frontend cases exercise the shipped modules, including a genuine </w:t>
      </w:r>
      <w:proofErr w:type="spellStart"/>
      <w:r>
        <w:rPr>
          <w:szCs w:val="24"/>
        </w:rPr>
        <w:t>IndexedDB</w:t>
      </w:r>
      <w:proofErr w:type="spellEnd"/>
      <w:r>
        <w:rPr>
          <w:szCs w:val="24"/>
        </w:rPr>
        <w:t xml:space="preserve">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w:t>
      </w:r>
      <w:proofErr w:type="spellStart"/>
      <w:r>
        <w:rPr>
          <w:szCs w:val="24"/>
        </w:rPr>
        <w:t>summarised</w:t>
      </w:r>
      <w:proofErr w:type="spellEnd"/>
      <w:r>
        <w:rPr>
          <w:szCs w:val="24"/>
        </w:rPr>
        <w:t xml:space="preserve"> against Objective 4 in Table 4.12.</w:t>
      </w:r>
    </w:p>
    <w:p w:rsidR="009C29EC" w:rsidRDefault="008A0666">
      <w:pPr>
        <w:pStyle w:val="BodyPara"/>
      </w:pPr>
      <w:r>
        <w:rPr>
          <w:szCs w:val="24"/>
        </w:rPr>
        <w:t xml:space="preserve">The </w:t>
      </w:r>
      <w:proofErr w:type="spellStart"/>
      <w:r>
        <w:rPr>
          <w:szCs w:val="24"/>
        </w:rPr>
        <w:t>behaviours</w:t>
      </w:r>
      <w:proofErr w:type="spellEnd"/>
      <w:r>
        <w:rPr>
          <w:szCs w:val="24"/>
        </w:rPr>
        <w:t xml:space="preserve"> reported in this chapter are those on which the design argument of Chapter Three depends. Each is asserted by at least one named passing test. For the 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 xml:space="preserve">A drying model can only be shown to be correct by recovering parameters known in advance, so the module is verified by hand-calculated fixture rather than by </w:t>
      </w:r>
      <w:r>
        <w:rPr>
          <w:szCs w:val="24"/>
        </w:rPr>
        <w:lastRenderedPageBreak/>
        <w:t>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 xml:space="preserve">Between the first and second navigation of the same flow, on an identical 0.4 Mbps simulated link, first paint fell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 a factor of eighty — and network transfer fell from 139,245 bytes over eight requests to 127 bytes over seven, with largest </w:t>
      </w:r>
      <w:proofErr w:type="spellStart"/>
      <w:r>
        <w:rPr>
          <w:szCs w:val="24"/>
        </w:rPr>
        <w:t>contentful</w:t>
      </w:r>
      <w:proofErr w:type="spellEnd"/>
      <w:r>
        <w:rPr>
          <w:szCs w:val="24"/>
        </w:rPr>
        <w:t xml:space="preserve"> paint at 5,661.2 </w:t>
      </w:r>
      <w:proofErr w:type="spellStart"/>
      <w:r>
        <w:rPr>
          <w:szCs w:val="24"/>
        </w:rPr>
        <w:t>ms</w:t>
      </w:r>
      <w:proofErr w:type="spellEnd"/>
      <w:r>
        <w:rPr>
          <w:szCs w:val="24"/>
        </w:rPr>
        <w:t xml:space="preserve"> cold and 1,612.0 </w:t>
      </w:r>
      <w:proofErr w:type="spellStart"/>
      <w:r>
        <w:rPr>
          <w:szCs w:val="24"/>
        </w:rPr>
        <w:t>ms</w:t>
      </w:r>
      <w:proofErr w:type="spellEnd"/>
      <w:r>
        <w:rPr>
          <w:szCs w:val="24"/>
        </w:rPr>
        <w:t xml:space="preserve"> warm.</w:t>
      </w:r>
    </w:p>
    <w:p w:rsidR="009C29EC" w:rsidRDefault="008A0666">
      <w:pPr>
        <w:pStyle w:val="BodyPara"/>
      </w:pPr>
      <w:r>
        <w:rPr>
          <w:szCs w:val="24"/>
        </w:rPr>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BodyPara"/>
      </w:pPr>
      <w:r>
        <w:rPr>
          <w:szCs w:val="24"/>
        </w:rPr>
        <w:t xml:space="preserve">The two exercised containers — the FastAPI backend and PostgreSQL 15 — measure 178.9 to 202.8 MiB at rest against the seeded dataset (Table C.1); on that footprint a 2 </w:t>
      </w:r>
      <w:r>
        <w:rPr>
          <w:szCs w:val="24"/>
        </w:rPr>
        <w:lastRenderedPageBreak/>
        <w:t>GB instance with snapshot backups, an amortised domain and a no-cost TLS certificate totals an estimated $15.40, approximately ₦20,950, per month (Table C.2), which at a conservative two-hundred-farm single-instance tenancy is ₦105 per farm per month (Table C.3).</w:t>
      </w: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lifetime, no refresh mechanism, no password reset and no second factor. The boundary these results establish is that the mechanisms behave as designed under the probes </w:t>
      </w:r>
      <w:r>
        <w:lastRenderedPageBreak/>
        <w:t>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heuristic checklist and the ten-item SUS questionnaire — and the frozen evidence base contains no completed instrument of any kind: no scored SUS forms, no filled heuristic checklists, no session notes, no participant records and no scans or photographs. This </w:t>
      </w:r>
      <w:r>
        <w:rPr>
          <w:szCs w:val="24"/>
        </w:rPr>
        <w:lastRenderedPageBreak/>
        <w:t>section is therefore drafted to receive real data and reports no figure that no retained instrument supports.</w:t>
      </w:r>
    </w:p>
    <w:p w:rsidR="009C29EC" w:rsidRDefault="008A0666">
      <w:pPr>
        <w:pStyle w:val="TableCaption"/>
      </w:pPr>
      <w:bookmarkStart w:id="131" w:name="_Toc238621514"/>
      <w:r>
        <w:rPr>
          <w:szCs w:val="24"/>
        </w:rPr>
        <w:t>Table 4.10: Usability evaluation — to be completed from retained instruments</w:t>
      </w:r>
      <w:bookmarkEnd w:id="13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Measure</w:t>
            </w:r>
          </w:p>
        </w:tc>
        <w:tc>
          <w:tcPr>
            <w:tcW w:w="1701" w:type="dxa"/>
            <w:tcBorders>
              <w:bottom w:val="single" w:sz="8" w:space="0" w:color="auto"/>
            </w:tcBorders>
            <w:vAlign w:val="center"/>
          </w:tcPr>
          <w:p w:rsidR="009C29EC" w:rsidRDefault="008A0666">
            <w:pPr>
              <w:pStyle w:val="TableCell"/>
            </w:pPr>
            <w:r>
              <w:rPr>
                <w:b/>
                <w:bCs/>
                <w:szCs w:val="20"/>
              </w:rPr>
              <w:t>Evaluator 1</w:t>
            </w:r>
          </w:p>
        </w:tc>
        <w:tc>
          <w:tcPr>
            <w:tcW w:w="1701" w:type="dxa"/>
            <w:tcBorders>
              <w:bottom w:val="single" w:sz="8" w:space="0" w:color="auto"/>
            </w:tcBorders>
            <w:vAlign w:val="center"/>
          </w:tcPr>
          <w:p w:rsidR="009C29EC" w:rsidRDefault="008A0666">
            <w:pPr>
              <w:pStyle w:val="TableCell"/>
            </w:pPr>
            <w:r>
              <w:rPr>
                <w:b/>
                <w:bCs/>
                <w:szCs w:val="20"/>
              </w:rPr>
              <w:t>Evaluator 2</w:t>
            </w:r>
          </w:p>
        </w:tc>
        <w:tc>
          <w:tcPr>
            <w:tcW w:w="1701" w:type="dxa"/>
            <w:tcBorders>
              <w:bottom w:val="single" w:sz="8" w:space="0" w:color="auto"/>
            </w:tcBorders>
            <w:vAlign w:val="center"/>
          </w:tcPr>
          <w:p w:rsidR="009C29EC" w:rsidRDefault="008A0666">
            <w:pPr>
              <w:pStyle w:val="TableCell"/>
            </w:pPr>
            <w:r>
              <w:rPr>
                <w:b/>
                <w:bCs/>
                <w:szCs w:val="20"/>
              </w:rPr>
              <w:t>Evaluator 3</w:t>
            </w:r>
          </w:p>
        </w:tc>
        <w:tc>
          <w:tcPr>
            <w:tcW w:w="1701" w:type="dxa"/>
            <w:tcBorders>
              <w:bottom w:val="single" w:sz="8" w:space="0" w:color="auto"/>
            </w:tcBorders>
            <w:vAlign w:val="center"/>
          </w:tcPr>
          <w:p w:rsidR="009C29EC" w:rsidRDefault="008A0666">
            <w:pPr>
              <w:pStyle w:val="TableCell"/>
            </w:pPr>
            <w:r>
              <w:rPr>
                <w:b/>
                <w:bCs/>
                <w:szCs w:val="20"/>
              </w:rPr>
              <w:t>Panel</w:t>
            </w:r>
          </w:p>
        </w:tc>
      </w:tr>
      <w:tr w:rsidR="009C29EC">
        <w:trPr>
          <w:cantSplit/>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w:t>
      </w:r>
      <w:proofErr w:type="spellStart"/>
      <w:r>
        <w:rPr>
          <w:szCs w:val="24"/>
        </w:rPr>
        <w:t>deduplicate</w:t>
      </w:r>
      <w:proofErr w:type="spellEnd"/>
      <w:r>
        <w:rPr>
          <w:szCs w:val="24"/>
        </w:rPr>
        <w:t>,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questionnaire must be completed without the author present, because a self-report instrument administered under the author’s observation is systematically inflated.</w:t>
      </w:r>
    </w:p>
    <w:p w:rsidR="009C29EC" w:rsidRDefault="008A0666">
      <w:pPr>
        <w:pStyle w:val="TableCaption"/>
      </w:pPr>
      <w:bookmarkStart w:id="132" w:name="_Toc238621515"/>
      <w:r>
        <w:rPr>
          <w:szCs w:val="24"/>
        </w:rPr>
        <w:lastRenderedPageBreak/>
        <w:t>Table 4.11: Usability issue log — to be completed</w:t>
      </w:r>
      <w:bookmarkEnd w:id="13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w:t>
            </w:r>
          </w:p>
        </w:tc>
        <w:tc>
          <w:tcPr>
            <w:tcW w:w="1701" w:type="dxa"/>
            <w:tcBorders>
              <w:bottom w:val="single" w:sz="8" w:space="0" w:color="auto"/>
            </w:tcBorders>
            <w:vAlign w:val="center"/>
          </w:tcPr>
          <w:p w:rsidR="009C29EC" w:rsidRDefault="008A0666">
            <w:pPr>
              <w:pStyle w:val="TableCell"/>
            </w:pPr>
            <w:r>
              <w:rPr>
                <w:b/>
                <w:bCs/>
                <w:szCs w:val="20"/>
              </w:rPr>
              <w:t>Finding</w:t>
            </w:r>
          </w:p>
        </w:tc>
        <w:tc>
          <w:tcPr>
            <w:tcW w:w="1701" w:type="dxa"/>
            <w:tcBorders>
              <w:bottom w:val="single" w:sz="8" w:space="0" w:color="auto"/>
            </w:tcBorders>
            <w:vAlign w:val="center"/>
          </w:tcPr>
          <w:p w:rsidR="009C29EC" w:rsidRDefault="008A0666">
            <w:pPr>
              <w:pStyle w:val="TableCell"/>
            </w:pPr>
            <w:r>
              <w:rPr>
                <w:b/>
                <w:bCs/>
                <w:szCs w:val="20"/>
              </w:rPr>
              <w:t>Source</w:t>
            </w:r>
          </w:p>
        </w:tc>
        <w:tc>
          <w:tcPr>
            <w:tcW w:w="1701" w:type="dxa"/>
            <w:tcBorders>
              <w:bottom w:val="single" w:sz="8" w:space="0" w:color="auto"/>
            </w:tcBorders>
            <w:vAlign w:val="center"/>
          </w:tcPr>
          <w:p w:rsidR="009C29EC" w:rsidRDefault="008A0666">
            <w:pPr>
              <w:pStyle w:val="TableCell"/>
            </w:pPr>
            <w:r>
              <w:rPr>
                <w:b/>
                <w:bCs/>
                <w:szCs w:val="20"/>
              </w:rPr>
              <w:t>Severity</w:t>
            </w:r>
          </w:p>
        </w:tc>
        <w:tc>
          <w:tcPr>
            <w:tcW w:w="1701" w:type="dxa"/>
            <w:tcBorders>
              <w:bottom w:val="single" w:sz="8" w:space="0" w:color="auto"/>
            </w:tcBorders>
            <w:vAlign w:val="center"/>
          </w:tcPr>
          <w:p w:rsidR="009C29EC" w:rsidRDefault="008A0666">
            <w:pPr>
              <w:pStyle w:val="TableCell"/>
            </w:pPr>
            <w:r>
              <w:rPr>
                <w:b/>
                <w:bCs/>
                <w:szCs w:val="20"/>
              </w:rPr>
              <w:t>Disposition</w:t>
            </w:r>
          </w:p>
        </w:tc>
      </w:tr>
      <w:tr w:rsidR="009C29EC">
        <w:trPr>
          <w:cantSplit/>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 xml:space="preserve">4.13 Results </w:t>
      </w:r>
      <w:r w:rsidR="003F7E0F">
        <w:rPr>
          <w:szCs w:val="24"/>
        </w:rPr>
        <w:t>against</w:t>
      </w:r>
      <w:r>
        <w:rPr>
          <w:szCs w:val="24"/>
        </w:rPr>
        <w:t xml:space="preserve"> the Stated Objectives</w:t>
      </w:r>
    </w:p>
    <w:p w:rsidR="009C29EC" w:rsidRDefault="008A0666">
      <w:pPr>
        <w:pStyle w:val="TableCaption"/>
      </w:pPr>
      <w:bookmarkStart w:id="133" w:name="_Toc238621516"/>
      <w:r>
        <w:rPr>
          <w:szCs w:val="24"/>
        </w:rPr>
        <w:t>Table 4.12: Evidence and residual gap, by objective</w:t>
      </w:r>
      <w:bookmarkEnd w:id="133"/>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60"/>
        <w:gridCol w:w="3000"/>
        <w:gridCol w:w="1244"/>
        <w:gridCol w:w="2700"/>
      </w:tblGrid>
      <w:tr w:rsidR="009C29EC">
        <w:trPr>
          <w:cantSplit/>
          <w:tblHeader/>
          <w:jc w:val="center"/>
        </w:trPr>
        <w:tc>
          <w:tcPr>
            <w:tcW w:w="1560" w:type="dxa"/>
            <w:tcBorders>
              <w:bottom w:val="single" w:sz="8" w:space="0" w:color="auto"/>
            </w:tcBorders>
            <w:vAlign w:val="center"/>
          </w:tcPr>
          <w:p w:rsidR="009C29EC" w:rsidRDefault="008A0666">
            <w:pPr>
              <w:pStyle w:val="TableCell"/>
            </w:pPr>
            <w:r>
              <w:rPr>
                <w:b/>
                <w:bCs/>
                <w:sz w:val="22"/>
              </w:rPr>
              <w:t>Objective</w:t>
            </w:r>
          </w:p>
        </w:tc>
        <w:tc>
          <w:tcPr>
            <w:tcW w:w="3000" w:type="dxa"/>
            <w:tcBorders>
              <w:bottom w:val="single" w:sz="8" w:space="0" w:color="auto"/>
            </w:tcBorders>
            <w:vAlign w:val="center"/>
          </w:tcPr>
          <w:p w:rsidR="009C29EC" w:rsidRDefault="008A0666">
            <w:pPr>
              <w:pStyle w:val="TableCell"/>
            </w:pPr>
            <w:r>
              <w:rPr>
                <w:b/>
                <w:bCs/>
                <w:sz w:val="22"/>
              </w:rPr>
              <w:t>What the evidence shows</w:t>
            </w:r>
          </w:p>
        </w:tc>
        <w:tc>
          <w:tcPr>
            <w:tcW w:w="1244" w:type="dxa"/>
            <w:tcBorders>
              <w:bottom w:val="single" w:sz="8" w:space="0" w:color="auto"/>
            </w:tcBorders>
            <w:vAlign w:val="center"/>
          </w:tcPr>
          <w:p w:rsidR="009C29EC" w:rsidRDefault="008A0666">
            <w:pPr>
              <w:pStyle w:val="TableCell"/>
            </w:pPr>
            <w:r>
              <w:rPr>
                <w:b/>
                <w:bCs/>
                <w:sz w:val="22"/>
              </w:rPr>
              <w:t>Evidence class</w:t>
            </w:r>
          </w:p>
        </w:tc>
        <w:tc>
          <w:tcPr>
            <w:tcW w:w="2700" w:type="dxa"/>
            <w:tcBorders>
              <w:bottom w:val="single" w:sz="8" w:space="0" w:color="auto"/>
            </w:tcBorders>
            <w:vAlign w:val="center"/>
          </w:tcPr>
          <w:p w:rsidR="009C29EC" w:rsidRDefault="008A0666">
            <w:pPr>
              <w:pStyle w:val="TableCell"/>
            </w:pPr>
            <w:r>
              <w:rPr>
                <w:b/>
                <w:bCs/>
                <w:sz w:val="22"/>
              </w:rPr>
              <w:t>Residual gap</w:t>
            </w:r>
          </w:p>
        </w:tc>
      </w:tr>
      <w:tr w:rsidR="009C29EC">
        <w:trPr>
          <w:cantSplit/>
          <w:jc w:val="center"/>
        </w:trPr>
        <w:tc>
          <w:tcPr>
            <w:tcW w:w="1560" w:type="dxa"/>
            <w:vAlign w:val="center"/>
          </w:tcPr>
          <w:p w:rsidR="00605853" w:rsidRDefault="00204124">
            <w:pPr>
              <w:spacing w:line="240" w:lineRule="auto"/>
              <w:jc w:val="center"/>
            </w:pPr>
            <w:r>
              <w:t>1. Identify and evaluate the socio-technical barriers hindering FMIS adoption in Nigeria</w:t>
            </w:r>
          </w:p>
        </w:tc>
        <w:tc>
          <w:tcPr>
            <w:tcW w:w="3000" w:type="dxa"/>
            <w:vAlign w:val="center"/>
          </w:tcPr>
          <w:p w:rsidR="00605853" w:rsidRDefault="00204124">
            <w:pPr>
              <w:spacing w:line="240" w:lineRule="auto"/>
              <w:jc w:val="center"/>
            </w:pPr>
            <w:r>
              <w:t>The barriers identified in Chapters One and Two — fragmentation, interoperability, complexity, connectivity and cost — were carried into the non-functional requirements of Section 3.3.2 and answered by specific implemented mechanisms: the paired write against fragmentation (109 logs, 109 transactions, 0 unpaired), the offline queue and service worker against connectivity, and the fixed-instance cost profile against cost</w:t>
            </w:r>
          </w:p>
        </w:tc>
        <w:tc>
          <w:tcPr>
            <w:tcW w:w="1244" w:type="dxa"/>
            <w:vAlign w:val="center"/>
          </w:tcPr>
          <w:p w:rsidR="00605853" w:rsidRDefault="00204124">
            <w:pPr>
              <w:spacing w:line="240" w:lineRule="auto"/>
              <w:jc w:val="center"/>
            </w:pPr>
            <w:r>
              <w:t>Implemented; numerical (Sections 4.8, 4.10; Appendices A and C)</w:t>
            </w:r>
          </w:p>
        </w:tc>
        <w:tc>
          <w:tcPr>
            <w:tcW w:w="2700" w:type="dxa"/>
            <w:vAlign w:val="center"/>
          </w:tcPr>
          <w:p w:rsidR="00605853" w:rsidRDefault="00204124">
            <w:pPr>
              <w:spacing w:line="240" w:lineRule="auto"/>
              <w:jc w:val="center"/>
            </w:pPr>
            <w:r>
              <w:t>Partially achieved. The barriers are established from the literature and answered by design; no empirical barrier study with Nigerian farmers was conducted, and none is claimed. The feature-phone channel that would address the rural device gap is not implemented in any form</w:t>
            </w:r>
          </w:p>
        </w:tc>
      </w:tr>
      <w:tr w:rsidR="009C29EC">
        <w:trPr>
          <w:cantSplit/>
          <w:jc w:val="center"/>
        </w:trPr>
        <w:tc>
          <w:tcPr>
            <w:tcW w:w="1560" w:type="dxa"/>
            <w:vAlign w:val="center"/>
          </w:tcPr>
          <w:p w:rsidR="00605853" w:rsidRDefault="00204124">
            <w:pPr>
              <w:spacing w:line="240" w:lineRule="auto"/>
              <w:jc w:val="center"/>
            </w:pPr>
            <w:r>
              <w:t>2. Convert operational and financial records into actionable decision-support metrics</w:t>
            </w:r>
          </w:p>
        </w:tc>
        <w:tc>
          <w:tcPr>
            <w:tcW w:w="3000" w:type="dxa"/>
            <w:vAlign w:val="center"/>
          </w:tcPr>
          <w:p w:rsidR="00605853" w:rsidRDefault="00204124">
            <w:pPr>
              <w:spacing w:line="240" w:lineRule="auto"/>
              <w:jc w:val="center"/>
            </w:pPr>
            <w:r>
              <w:t>Nine deterministic quantities computed from a live ledger and each pinned by named tests; the decision-support and enterprise-economics services at 100% statement coverage; all six enterprise endpoints reachable in the interface; two independent partial-budget implementations agreeing on eight hand-computed cases</w:t>
            </w:r>
          </w:p>
        </w:tc>
        <w:tc>
          <w:tcPr>
            <w:tcW w:w="1244" w:type="dxa"/>
            <w:vAlign w:val="center"/>
          </w:tcPr>
          <w:p w:rsidR="00605853" w:rsidRDefault="00204124">
            <w:pPr>
              <w:spacing w:line="240" w:lineRule="auto"/>
              <w:jc w:val="center"/>
            </w:pPr>
            <w:r>
              <w:t>Automatically verified; numerical (Sections 4.2 to 4.6)</w:t>
            </w:r>
          </w:p>
        </w:tc>
        <w:tc>
          <w:tcPr>
            <w:tcW w:w="2700" w:type="dxa"/>
            <w:vAlign w:val="center"/>
          </w:tcPr>
          <w:p w:rsidR="00605853" w:rsidRDefault="00204124">
            <w:pPr>
              <w:spacing w:line="240" w:lineRule="auto"/>
              <w:jc w:val="center"/>
            </w:pPr>
            <w:r>
              <w:t>Achieved as arithmetic. Demonstrated on one seeded farm rather than a season of real records, so the agronomic relevance of the figures is unevaluated. The forecast tier is trained on synthetic data</w:t>
            </w:r>
          </w:p>
        </w:tc>
      </w:tr>
      <w:tr w:rsidR="009C29EC">
        <w:trPr>
          <w:cantSplit/>
          <w:jc w:val="center"/>
        </w:trPr>
        <w:tc>
          <w:tcPr>
            <w:tcW w:w="1560" w:type="dxa"/>
            <w:vAlign w:val="center"/>
          </w:tcPr>
          <w:p w:rsidR="00605853" w:rsidRDefault="00204124">
            <w:pPr>
              <w:spacing w:line="240" w:lineRule="auto"/>
              <w:jc w:val="center"/>
            </w:pPr>
            <w:r>
              <w:lastRenderedPageBreak/>
              <w:t>3. Design and integrate a secure data-sharing framework to build stakeholder trust</w:t>
            </w:r>
          </w:p>
        </w:tc>
        <w:tc>
          <w:tcPr>
            <w:tcW w:w="3000" w:type="dxa"/>
            <w:vAlign w:val="center"/>
          </w:tcPr>
          <w:p w:rsidR="00605853" w:rsidRDefault="00204124">
            <w:pPr>
              <w:spacing w:line="240" w:lineRule="auto"/>
              <w:jc w:val="center"/>
            </w:pPr>
            <w:r>
              <w:t xml:space="preserve">Signed-token authentication over hashed credentials; role-based </w:t>
            </w:r>
            <w:proofErr w:type="spellStart"/>
            <w:r>
              <w:t>authorisation</w:t>
            </w:r>
            <w:proofErr w:type="spellEnd"/>
            <w:r>
              <w:t xml:space="preserve"> over 3 roles and 11 permissions with the permission check preceding the scope check; per-farm isolation returning 404; share tokens 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1244" w:type="dxa"/>
            <w:vAlign w:val="center"/>
          </w:tcPr>
          <w:p w:rsidR="00605853" w:rsidRDefault="00204124">
            <w:pPr>
              <w:spacing w:line="240" w:lineRule="auto"/>
              <w:jc w:val="center"/>
            </w:pPr>
            <w:r>
              <w:t>Automatically verified and probed live (Section 4.11; Appendix B)</w:t>
            </w:r>
          </w:p>
        </w:tc>
        <w:tc>
          <w:tcPr>
            <w:tcW w:w="2700" w:type="dxa"/>
            <w:vAlign w:val="center"/>
          </w:tcPr>
          <w:p w:rsidR="00605853" w:rsidRDefault="00204124">
            <w:pPr>
              <w:spacing w:line="240" w:lineRule="auto"/>
              <w:jc w:val="center"/>
            </w:pPr>
            <w:r>
              <w:t>Achieved as implementation and internal verification. Not validated in practice: no independent security assessment, penetration test or threat model. No session revocation, refresh, password reset or second factor. The ledger is audit-trailed, not cryptographically tamper-evident</w:t>
            </w:r>
          </w:p>
        </w:tc>
      </w:tr>
      <w:tr w:rsidR="009C29EC">
        <w:trPr>
          <w:cantSplit/>
          <w:jc w:val="center"/>
        </w:trPr>
        <w:tc>
          <w:tcPr>
            <w:tcW w:w="1560" w:type="dxa"/>
            <w:vAlign w:val="center"/>
          </w:tcPr>
          <w:p w:rsidR="00605853" w:rsidRDefault="00204124">
            <w:pPr>
              <w:spacing w:line="240" w:lineRule="auto"/>
              <w:jc w:val="center"/>
            </w:pPr>
            <w:r>
              <w:t>4. Evaluate usability, cost-effectiveness and operational viability under Nigerian constraints</w:t>
            </w:r>
          </w:p>
        </w:tc>
        <w:tc>
          <w:tcPr>
            <w:tcW w:w="3000" w:type="dxa"/>
            <w:vAlign w:val="center"/>
          </w:tcPr>
          <w:p w:rsidR="00605853" w:rsidRDefault="00204124" w:rsidP="008B7BDC">
            <w:pPr>
              <w:spacing w:line="240" w:lineRule="auto"/>
              <w:jc w:val="center"/>
            </w:pPr>
            <w:r>
              <w:t>Three of four specified strands executed: functional verification (426 collected backend cases, 422 passed, 4 skipped, 0 failed, at 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1244" w:type="dxa"/>
            <w:vAlign w:val="center"/>
          </w:tcPr>
          <w:p w:rsidR="00605853" w:rsidRDefault="00204124">
            <w:pPr>
              <w:spacing w:line="240" w:lineRule="auto"/>
              <w:jc w:val="center"/>
            </w:pPr>
            <w:r>
              <w:t>Numerical; manually inspected (Sections 4.8 to 4.11)</w:t>
            </w:r>
          </w:p>
        </w:tc>
        <w:tc>
          <w:tcPr>
            <w:tcW w:w="2700" w:type="dxa"/>
            <w:vAlign w:val="center"/>
          </w:tcPr>
          <w:p w:rsidR="00605853" w:rsidRDefault="00204124">
            <w:pPr>
              <w:spacing w:line="240" w:lineRule="auto"/>
              <w:jc w:val="center"/>
            </w:pPr>
            <w:r>
              <w:t>Partially achieved. The usability strand was specified and not executed (Section 4.12), so no SUS score, heuristic rating or task-completion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cantSplit/>
          <w:jc w:val="center"/>
        </w:trPr>
        <w:tc>
          <w:tcPr>
            <w:tcW w:w="1560" w:type="dxa"/>
            <w:vAlign w:val="center"/>
          </w:tcPr>
          <w:p w:rsidR="00605853" w:rsidRDefault="00204124">
            <w:pPr>
              <w:spacing w:line="240" w:lineRule="auto"/>
              <w:jc w:val="center"/>
            </w:pPr>
            <w:r>
              <w:lastRenderedPageBreak/>
              <w:t>5. Model post-harvest drying and couple its output to the financial record</w:t>
            </w:r>
          </w:p>
        </w:tc>
        <w:tc>
          <w:tcPr>
            <w:tcW w:w="3000" w:type="dxa"/>
            <w:vAlign w:val="center"/>
          </w:tcPr>
          <w:p w:rsidR="00605853" w:rsidRDefault="00204124">
            <w:pPr>
              <w:spacing w:line="240" w:lineRule="auto"/>
              <w:jc w:val="center"/>
            </w:pPr>
            <w:r>
              <w:t xml:space="preserve">The Page and Newton models recovered from a designed fixture to within 1×10⁻⁴; water removed held distinct from process loss by a test that fails if they are ever equated; safe storage returned as an absence rather than a negative verdict for an </w:t>
            </w:r>
            <w:proofErr w:type="spellStart"/>
            <w:r>
              <w:t>unrecognised</w:t>
            </w:r>
            <w:proofErr w:type="spellEnd"/>
            <w:r>
              <w:t xml:space="preserve"> crop; and a maize run of 100 kg at 25% moisture dried to 13% and weighed out at 84 kg moving unit cost of production from ₦35.00 to ₦41.67 per marketable kilogram, computed end to end without manual intervention</w:t>
            </w:r>
          </w:p>
        </w:tc>
        <w:tc>
          <w:tcPr>
            <w:tcW w:w="1244" w:type="dxa"/>
            <w:vAlign w:val="center"/>
          </w:tcPr>
          <w:p w:rsidR="00605853" w:rsidRDefault="00204124">
            <w:pPr>
              <w:spacing w:line="240" w:lineRule="auto"/>
              <w:jc w:val="center"/>
            </w:pPr>
            <w:r>
              <w:t>Automatically verified; numerical (Section 4.5)</w:t>
            </w:r>
          </w:p>
        </w:tc>
        <w:tc>
          <w:tcPr>
            <w:tcW w:w="2700" w:type="dxa"/>
            <w:vAlign w:val="center"/>
          </w:tcPr>
          <w:p w:rsidR="00605853" w:rsidRDefault="00204124">
            <w:pPr>
              <w:spacing w:line="240" w:lineRule="auto"/>
              <w:jc w:val="center"/>
            </w:pPr>
            <w:r>
              <w:t>Achieved as a demonstrated computation on seeded runs. No 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t>4.14 Limitations</w:t>
      </w:r>
    </w:p>
    <w:p w:rsidR="009C29EC" w:rsidRDefault="008A0666">
      <w:pPr>
        <w:pStyle w:val="BodyPara"/>
      </w:pPr>
      <w:r>
        <w:rPr>
          <w:szCs w:val="24"/>
        </w:rPr>
        <w:t xml:space="preserve">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w:t>
      </w:r>
      <w:proofErr w:type="spellStart"/>
      <w:r>
        <w:rPr>
          <w:szCs w:val="24"/>
        </w:rPr>
        <w:t>authorisation</w:t>
      </w:r>
      <w:proofErr w:type="spellEnd"/>
      <w:r>
        <w:rPr>
          <w:szCs w:val="24"/>
        </w:rPr>
        <w:t xml:space="preserve">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w:t>
      </w:r>
      <w:proofErr w:type="spellStart"/>
      <w:r w:rsidRPr="004F5D51">
        <w:rPr>
          <w:bCs/>
          <w:szCs w:val="24"/>
        </w:rPr>
        <w:t>unsequenced</w:t>
      </w:r>
      <w:proofErr w:type="spellEnd"/>
      <w:r w:rsidRPr="004F5D51">
        <w:rPr>
          <w:bCs/>
          <w:szCs w:val="24"/>
        </w:rPr>
        <w:t xml:space="preserve"> against the purge, so a fetch begun before a purge can repopulate the cache with a pre-</w:t>
      </w:r>
      <w:r w:rsidRPr="004F5D51">
        <w:rPr>
          <w:bCs/>
          <w:szCs w:val="24"/>
        </w:rPr>
        <w:lastRenderedPageBreak/>
        <w:t xml:space="preserv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w:t>
      </w:r>
      <w:proofErr w:type="gramStart"/>
      <w:r w:rsidRPr="004F5D51">
        <w:rPr>
          <w:bCs/>
          <w:szCs w:val="24"/>
        </w:rPr>
        <w:t>model's</w:t>
      </w:r>
      <w:proofErr w:type="gramEnd"/>
      <w:r w:rsidRPr="004F5D51">
        <w:rPr>
          <w:bCs/>
          <w:szCs w:val="24"/>
        </w:rPr>
        <w:t>,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w:t>
      </w:r>
      <w:proofErr w:type="spellStart"/>
      <w:r w:rsidRPr="004F5D51">
        <w:rPr>
          <w:bCs/>
          <w:szCs w:val="24"/>
        </w:rPr>
        <w:t>realised</w:t>
      </w:r>
      <w:proofErr w:type="spellEnd"/>
      <w:r w:rsidRPr="004F5D51">
        <w:rPr>
          <w:bCs/>
          <w:szCs w:val="24"/>
        </w:rPr>
        <w:t xml:space="preserve">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w:t>
      </w:r>
      <w:r w:rsidRPr="004F5D51">
        <w:rPr>
          <w:bCs/>
          <w:szCs w:val="24"/>
        </w:rPr>
        <w:lastRenderedPageBreak/>
        <w:t>(Kay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 xml:space="preserve">Verification gaps —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w:t>
      </w:r>
      <w:proofErr w:type="spellStart"/>
      <w:r w:rsidRPr="004F5D51">
        <w:rPr>
          <w:bCs/>
          <w:szCs w:val="24"/>
        </w:rPr>
        <w:t>IndexedDB</w:t>
      </w:r>
      <w:proofErr w:type="spellEnd"/>
      <w:r w:rsidRPr="004F5D51">
        <w:rPr>
          <w:bCs/>
          <w:szCs w:val="24"/>
        </w:rPr>
        <w:t xml:space="preserve"> implementation rather than a real browser, so browser-specific storage eviction, quota </w:t>
      </w:r>
      <w:proofErr w:type="spellStart"/>
      <w:r w:rsidRPr="004F5D51">
        <w:rPr>
          <w:bCs/>
          <w:szCs w:val="24"/>
        </w:rPr>
        <w:t>behaviour</w:t>
      </w:r>
      <w:proofErr w:type="spellEnd"/>
      <w:r w:rsidRPr="004F5D51">
        <w:rPr>
          <w:bCs/>
          <w:szCs w:val="24"/>
        </w:rPr>
        <w:t xml:space="preserve">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w:t>
      </w:r>
      <w:proofErr w:type="spellStart"/>
      <w:r w:rsidRPr="004F5D51">
        <w:rPr>
          <w:bCs/>
          <w:szCs w:val="24"/>
        </w:rPr>
        <w:t>mechanisation</w:t>
      </w:r>
      <w:proofErr w:type="spellEnd"/>
      <w:r w:rsidRPr="004F5D51">
        <w:rPr>
          <w:bCs/>
          <w:szCs w:val="24"/>
        </w:rPr>
        <w:t xml:space="preserve"> logs. Two components of the hosting footprint — the static server and the container runtime — were not sampled at all, so the total is part-measured and part-assumed. The maize and cowpea sale figures are chosen totals rather than rate-times-quantity, so the </w:t>
      </w:r>
      <w:proofErr w:type="spellStart"/>
      <w:r w:rsidRPr="004F5D51">
        <w:rPr>
          <w:bCs/>
          <w:szCs w:val="24"/>
        </w:rPr>
        <w:t>realised</w:t>
      </w:r>
      <w:proofErr w:type="spellEnd"/>
      <w:r w:rsidRPr="004F5D51">
        <w:rPr>
          <w:bCs/>
          <w:szCs w:val="24"/>
        </w:rPr>
        <w:t xml:space="preserve"> prices derived from them act as reconstructions rather than observed prices.</w:t>
      </w:r>
    </w:p>
    <w:p w:rsidR="009C29EC" w:rsidRPr="004F5D51" w:rsidRDefault="008A0666">
      <w:pPr>
        <w:pStyle w:val="BodyPara"/>
      </w:pPr>
      <w:r w:rsidRPr="004F5D51">
        <w:rPr>
          <w:bCs/>
          <w:szCs w:val="24"/>
        </w:rPr>
        <w:lastRenderedPageBreak/>
        <w:t>Documentation gaps. Two citations that were outstanding in the implementation are now resolved and are attributed in Chapter Two: the cost-</w:t>
      </w:r>
      <w:proofErr w:type="spellStart"/>
      <w:r w:rsidRPr="004F5D51">
        <w:rPr>
          <w:bCs/>
          <w:szCs w:val="24"/>
        </w:rPr>
        <w:t>behaviour</w:t>
      </w:r>
      <w:proofErr w:type="spellEnd"/>
      <w:r w:rsidRPr="004F5D51">
        <w:rPr>
          <w:bCs/>
          <w:szCs w:val="24"/>
        </w:rPr>
        <w:t xml:space="preserve"> taxonomy to the enterprise-budgeting literature of agricultural economics (Kay et al., 2016), and the safe-storage moisture ceilings to post-harvest handling guidance (FAO, </w:t>
      </w:r>
      <w:proofErr w:type="spellStart"/>
      <w:r w:rsidRPr="004F5D51">
        <w:rPr>
          <w:bCs/>
          <w:szCs w:val="24"/>
        </w:rPr>
        <w:t>n.d.</w:t>
      </w:r>
      <w:proofErr w:type="spellEnd"/>
      <w:r w:rsidRPr="004F5D51">
        <w:rPr>
          <w:bCs/>
          <w:szCs w:val="24"/>
        </w:rPr>
        <w:t xml:space="preserve">; </w:t>
      </w:r>
      <w:proofErr w:type="spellStart"/>
      <w:r w:rsidRPr="004F5D51">
        <w:rPr>
          <w:bCs/>
          <w:szCs w:val="24"/>
        </w:rPr>
        <w:t>Baidhe</w:t>
      </w:r>
      <w:proofErr w:type="spellEnd"/>
      <w:r w:rsidRPr="004F5D51">
        <w:rPr>
          <w:bCs/>
          <w:szCs w:val="24"/>
        </w:rPr>
        <w:t xml:space="preserv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4" w:name="_Toc238621422"/>
      <w:r>
        <w:rPr>
          <w:szCs w:val="24"/>
        </w:rPr>
        <w:t>4.15 Summary</w:t>
      </w:r>
      <w:bookmarkEnd w:id="134"/>
    </w:p>
    <w:p w:rsidR="009C29EC" w:rsidRDefault="008A0666">
      <w:pPr>
        <w:pStyle w:val="BodyPara"/>
      </w:pPr>
      <w:r>
        <w:rPr>
          <w:szCs w:val="24"/>
        </w:rPr>
        <w:t xml:space="preserve">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w:t>
      </w:r>
      <w:proofErr w:type="spellStart"/>
      <w:r>
        <w:rPr>
          <w:szCs w:val="24"/>
        </w:rPr>
        <w:t>idempotency</w:t>
      </w:r>
      <w:proofErr w:type="spellEnd"/>
      <w:r>
        <w:rPr>
          <w:szCs w:val="24"/>
        </w:rPr>
        <w:t xml:space="preserve">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The deterministic decision-support layer and the post-harvest module are reported in full at Sections 4.2 to 4.6, and the evidence each produced is set against the objectives it answers in Table 4.12.</w:t>
      </w:r>
    </w:p>
    <w:p w:rsidR="009C29EC" w:rsidRDefault="008A0666">
      <w:pPr>
        <w:pStyle w:val="BodyPara"/>
      </w:pPr>
      <w:r>
        <w:rPr>
          <w:szCs w:val="24"/>
        </w:rPr>
        <w:t xml:space="preserve">Under simulated throttling the service worker reduces network transfer on a repeat visit from 139,245 bytes over eight requests to 127 bytes over seven, the residue being the manifest icon, a measured defect. First paint falls by a factor of about eighty, but time to </w:t>
      </w:r>
      <w:r>
        <w:rPr>
          <w:szCs w:val="24"/>
        </w:rPr>
        <w:lastRenderedPageBreak/>
        <w:t>main content improves by a factor of about three and a half, and that is the figure a user experiences.</w:t>
      </w:r>
    </w:p>
    <w:p w:rsidR="009C29EC" w:rsidRDefault="008A0666">
      <w:pPr>
        <w:pStyle w:val="BodyPara"/>
      </w:pPr>
      <w:r>
        <w:rPr>
          <w:szCs w:val="24"/>
        </w:rPr>
        <w:t>The security and tenancy boundary is exercised as well as asserted, and is reported with its residuals at Section 4.11 and in Tables B.1 and B.2; the standing caveats — synthetic training data for the forecast tier, a production path demonstrated but never deployed, no independent security assessment, and a usability strand specified and not executed — are stated at Sections 4.7, 4.12 and 4.14.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5" w:name="_Toc238621466"/>
      <w:r>
        <w:rPr>
          <w:szCs w:val="28"/>
        </w:rPr>
        <w:lastRenderedPageBreak/>
        <w:t>CHAPTER FIVE</w:t>
      </w:r>
      <w:bookmarkEnd w:id="135"/>
    </w:p>
    <w:p w:rsidR="009C29EC" w:rsidRDefault="00C07D64">
      <w:pPr>
        <w:pStyle w:val="ChapterTitle"/>
      </w:pPr>
      <w:bookmarkStart w:id="136" w:name="_Toc238621467"/>
      <w:r>
        <w:rPr>
          <w:szCs w:val="28"/>
        </w:rPr>
        <w:t>5.0 SUMMARY</w:t>
      </w:r>
      <w:r w:rsidR="008A0666">
        <w:rPr>
          <w:szCs w:val="28"/>
        </w:rPr>
        <w:t>, CONCLUSION AND RECOMMENDATIONS</w:t>
      </w:r>
      <w:bookmarkEnd w:id="136"/>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 xml:space="preserve">The approach was to remove the separation rather than to manage it. Where an integrative design </w:t>
      </w:r>
      <w:proofErr w:type="spellStart"/>
      <w:r>
        <w:t>synchronises</w:t>
      </w:r>
      <w:proofErr w:type="spellEnd"/>
      <w:r>
        <w:t xml:space="preserve">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 xml:space="preserve">tform would help a real </w:t>
      </w:r>
      <w:proofErr w:type="gramStart"/>
      <w:r w:rsidR="00C07D64">
        <w:t>farmer,</w:t>
      </w:r>
      <w:r>
        <w:t xml:space="preserve"> that</w:t>
      </w:r>
      <w:proofErr w:type="gramEnd"/>
      <w:r>
        <w:t xml:space="preserve"> is stated as a limit on the work rather than bridged by argument.</w:t>
      </w:r>
    </w:p>
    <w:p w:rsidR="009C29EC" w:rsidRDefault="008A0666">
      <w:pPr>
        <w:pStyle w:val="H3"/>
      </w:pPr>
      <w:r>
        <w:lastRenderedPageBreak/>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lastRenderedPageBreak/>
        <w:t>Forecasting. A 200-estimator Random Forest over 6,000 synthetic samples returned R² 0.9762, MAE 0.2414 t/ha and RMSE 0.4883 t/ha, reproducible to six decimal places across two Python versions from a dataset carrying a recorded SHA-256 fingerprint. 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The operating-cost estimate anchored on the platform’s measured resource consumption is reported at Section 4.10 and in Appendix C.</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w:t>
      </w:r>
      <w:proofErr w:type="spellStart"/>
      <w:r>
        <w:t>Poppe</w:t>
      </w:r>
      <w:proofErr w:type="spellEnd"/>
      <w:r>
        <w:t xml:space="preserve"> et al., 2023; </w:t>
      </w:r>
      <w:proofErr w:type="spellStart"/>
      <w:r>
        <w:t>Fountas</w:t>
      </w:r>
      <w:proofErr w:type="spellEnd"/>
      <w:r>
        <w:t xml:space="preserve"> et al., 2015). Most r</w:t>
      </w:r>
      <w:r w:rsidR="00B222E3">
        <w:t>esponses to it are integrative,</w:t>
      </w:r>
      <w:r>
        <w:t xml:space="preserve"> two systems and a </w:t>
      </w:r>
      <w:proofErr w:type="spellStart"/>
      <w:r>
        <w:t>synchronisation</w:t>
      </w:r>
      <w:proofErr w:type="spellEnd"/>
      <w:r>
        <w:t xml:space="preserve">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w:t>
      </w:r>
      <w:proofErr w:type="spellStart"/>
      <w:r>
        <w:t>bioresources</w:t>
      </w:r>
      <w:proofErr w:type="spellEnd"/>
      <w:r>
        <w:t xml:space="preserve">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proofErr w:type="gramStart"/>
      <w:r w:rsidR="00B222E3">
        <w:t>its</w:t>
      </w:r>
      <w:proofErr w:type="gramEnd"/>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 xml:space="preserve">Van </w:t>
      </w:r>
      <w:proofErr w:type="spellStart"/>
      <w:r w:rsidR="00F455C0">
        <w:t>Klompenburg</w:t>
      </w:r>
      <w:proofErr w:type="spellEnd"/>
      <w:r w:rsidR="00F455C0">
        <w:t xml:space="preserve">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w:t>
      </w:r>
      <w:proofErr w:type="spellStart"/>
      <w:r>
        <w:t>Klompenburg</w:t>
      </w:r>
      <w:proofErr w:type="spellEnd"/>
      <w:r>
        <w:t xml:space="preserve"> et al. establish. The counter-case is recorded rather than suppressed: </w:t>
      </w:r>
      <w:proofErr w:type="spellStart"/>
      <w:r>
        <w:t>Olisah</w:t>
      </w:r>
      <w:proofErr w:type="spellEnd"/>
      <w:r>
        <w:t xml:space="preserve"> et al. (2024), working on Nigerian corn-yield prediction for smallholder decision support, report that a carefully tuned deep neural network </w:t>
      </w:r>
      <w:proofErr w:type="spellStart"/>
      <w:r>
        <w:t>regressor</w:t>
      </w:r>
      <w:proofErr w:type="spellEnd"/>
      <w:r>
        <w:t xml:space="preserve">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w:t>
      </w:r>
      <w:r>
        <w:lastRenderedPageBreak/>
        <w:t>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w:t>
      </w:r>
      <w:proofErr w:type="spellStart"/>
      <w:r>
        <w:t>Onwude</w:t>
      </w:r>
      <w:proofErr w:type="spellEnd"/>
      <w:r>
        <w:t xml:space="preserve"> et al. (2016); nothing in the kinetics is new, and no claim to the contrary is made. What the reviewed literature does not do is carry those outputs into a cost record. </w:t>
      </w:r>
      <w:proofErr w:type="spellStart"/>
      <w:r>
        <w:t>Baidhe</w:t>
      </w:r>
      <w:proofErr w:type="spellEnd"/>
      <w:r>
        <w:t xml:space="preserve"> et al. (2024) report that inadequate and unmeasured drying remains a principal determinant of grain quality loss across Africa, and that smallholder practice judges the end point by eye; the enterprise-budgeting literature (Kay et al., 2016) supplies the cost-</w:t>
      </w:r>
      <w:proofErr w:type="spellStart"/>
      <w:r>
        <w:t>behaviour</w:t>
      </w:r>
      <w:proofErr w:type="spellEnd"/>
      <w:r>
        <w:t xml:space="preserve">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separates what would require building from what would require measuring, and the two have different consequences for what may be claimed.</w:t>
      </w:r>
    </w:p>
    <w:p w:rsidR="009C29EC" w:rsidRDefault="00F455C0">
      <w:pPr>
        <w:pStyle w:val="BodyPara"/>
      </w:pPr>
      <w:r>
        <w:t xml:space="preserve">Data </w:t>
      </w:r>
      <w:r w:rsidR="008A0666">
        <w:t xml:space="preserve">evaluation. Every figure in Chapter Four derives from a single seeded demonstration farm. There has been no field trial and no real farmer data. The seeded records were constructed to exercise the platform’s analytical paths, so they are not a </w:t>
      </w:r>
      <w:r w:rsidR="008A0666">
        <w:lastRenderedPageBreak/>
        <w:t>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that the artefact was not reproducible from the repository, carried by an earlier draft, was wrong and understated the project’s own </w:t>
      </w:r>
      <w:proofErr w:type="spellStart"/>
      <w:r w:rsidR="008A0666">
        <w:t>rigour</w:t>
      </w:r>
      <w:proofErr w:type="spellEnd"/>
      <w:r w:rsidR="008A0666">
        <w:t xml:space="preserve">. No claim of field-predictive accuracy is made, and the model should not be relied upon for a planting or input decision in its present state. The model family is chosen on the cost and interpretability grounds established by van </w:t>
      </w:r>
      <w:proofErr w:type="spellStart"/>
      <w:r w:rsidR="008A0666">
        <w:t>Klompenburg</w:t>
      </w:r>
      <w:proofErr w:type="spellEnd"/>
      <w:r w:rsidR="008A0666">
        <w:t xml:space="preserve"> et al. (2020) and not on a claim of superior accuracy, and the pre-processing problem that </w:t>
      </w:r>
      <w:proofErr w:type="spellStart"/>
      <w:r w:rsidR="008A0666">
        <w:t>Olisah</w:t>
      </w:r>
      <w:proofErr w:type="spellEnd"/>
      <w:r w:rsidR="008A0666">
        <w:t xml:space="preserve"> et al. (2024) find decisive is one this tier does not yet meet, because synthetic data arrives clean.</w:t>
      </w:r>
    </w:p>
    <w:p w:rsidR="009C29EC" w:rsidRDefault="00F455C0">
      <w:pPr>
        <w:pStyle w:val="BodyPara"/>
      </w:pPr>
      <w:r>
        <w:t xml:space="preserve">Forecast interval implementation. The methodological ladder of Section 2.6.3 has three rungs and the platform </w:t>
      </w:r>
      <w:proofErr w:type="spellStart"/>
      <w:r>
        <w:t>realises</w:t>
      </w:r>
      <w:proofErr w:type="spellEnd"/>
      <w:r>
        <w:t xml:space="preserve"> two of them, the deterministic tier and the tree-based ensemble; the intermediate regression tier is not implemented. The dispersion measure reported beside a forecast is computed across the individual trees of the ensemble and indicates agreement among them. It is not a calibrated prediction interval and is not reported as one. Established methods for interval estimation from a random forest exist (</w:t>
      </w:r>
      <w:proofErr w:type="spellStart"/>
      <w:r>
        <w:t>Meinshausen</w:t>
      </w:r>
      <w:proofErr w:type="spellEnd"/>
      <w:r>
        <w:t xml:space="preserve">, 2006; Wager et al., 2014), and they are the route to a calibrated figure. No figure in Chapter Four derives from the unimplemented tier. The one interval reported there, 3.24 to 6.24 t/ha about a point estimate of 4.74 t/ha, is stated in those </w:t>
      </w:r>
      <w:r>
        <w:lastRenderedPageBreak/>
        <w:t>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Four depends on a threshold for which no applicable published source was located. </w:t>
      </w:r>
      <w:r w:rsidR="008A0666">
        <w:lastRenderedPageBreak/>
        <w:t>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 xml:space="preserve">implementation. Two are known and were reported in Section 4.14: a mistaken reversal cannot itself be rolled back, only compensated by a new unlinked entry, and a stale-revalidation window in the service worker is reasoned but </w:t>
      </w:r>
      <w:proofErr w:type="spellStart"/>
      <w:r w:rsidR="008A0666">
        <w:t>unreproduced</w:t>
      </w:r>
      <w:proofErr w:type="spellEnd"/>
      <w:r w:rsidR="008A0666">
        <w:t xml:space="preserve">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w:t>
      </w:r>
      <w:proofErr w:type="spellStart"/>
      <w:r w:rsidR="008A0666">
        <w:t>utilisation</w:t>
      </w:r>
      <w:proofErr w:type="spellEnd"/>
      <w:r w:rsidR="008A0666">
        <w:t xml:space="preserve">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t xml:space="preserve">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w:t>
      </w:r>
      <w:r>
        <w:lastRenderedPageBreak/>
        <w:t>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What the work does not establish is equally definite. There has been no field trial, no real farmer data and no user evaluation, so Objective (IV) is partially achieved; the forecast tier is trained on synthetic data and its reported accuracy is the recovery of a constructed relationship; the performance figures are modelled throttling against a local server rather than a field measurement; the data boundary is proven by tests and by probing a running stack rather than by an independent security assessment, and the ledger is audit-trailed rather than cryptographically tamper-evident; and the platform has never been deployed to serve a real user, on a real domain, on a departmental host.</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lastRenderedPageBreak/>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 xml:space="preserve">For lenders, investors and cooperatives. A read-only, revocable, expiring, </w:t>
      </w:r>
      <w:proofErr w:type="spellStart"/>
      <w:r>
        <w:t>standardised</w:t>
      </w:r>
      <w:proofErr w:type="spellEnd"/>
      <w:r>
        <w:t xml:space="preserve">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 xml:space="preserve">and the latter is at least assessable. The cost structure compounds this: at ₦105 per farm per month at a two-hundred-farm tenancy, the natural adopter is an </w:t>
      </w:r>
      <w:proofErr w:type="spellStart"/>
      <w:r>
        <w:t>organisation</w:t>
      </w:r>
      <w:proofErr w:type="spellEnd"/>
      <w:r>
        <w:t xml:space="preserve"> serving many farms, which is also the party a lender would rather deal with.</w:t>
      </w:r>
    </w:p>
    <w:p w:rsidR="009C29EC" w:rsidRDefault="008A0666">
      <w:pPr>
        <w:pStyle w:val="BodyPara"/>
      </w:pPr>
      <w:r>
        <w:lastRenderedPageBreak/>
        <w:t xml:space="preserve">For agricultural and </w:t>
      </w:r>
      <w:proofErr w:type="spellStart"/>
      <w:r>
        <w:t>bioresources</w:t>
      </w:r>
      <w:proofErr w:type="spellEnd"/>
      <w:r>
        <w:t xml:space="preserve">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become financially decision-relevant the moment they are joined to a cost record. The engineering content of this platform is not the thin-layer models but that junction. The same pattern would extend 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w:t>
      </w:r>
      <w:proofErr w:type="spellStart"/>
      <w:r>
        <w:t>generalise</w:t>
      </w:r>
      <w:proofErr w:type="spellEnd"/>
      <w:r>
        <w:t xml:space="preserve">. Pairing the operational and financial write removes a class of reconciliation problem rather than managing it. Withholding a figure whose inputs are insufficient is safer than defaulting it, and costs little to implement. And a service-worker </w:t>
      </w:r>
      <w:proofErr w:type="spellStart"/>
      <w:r>
        <w:t>precache</w:t>
      </w:r>
      <w:proofErr w:type="spellEnd"/>
      <w:r>
        <w:t xml:space="preserv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 xml:space="preserve">For evaluation practice. A fourth position </w:t>
      </w:r>
      <w:proofErr w:type="spellStart"/>
      <w:r>
        <w:t>generalises</w:t>
      </w:r>
      <w:proofErr w:type="spellEnd"/>
      <w:r>
        <w:t xml:space="preserve">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w:t>
      </w:r>
      <w:proofErr w:type="spellStart"/>
      <w:r w:rsidR="0085369B">
        <w:t>Olisah</w:t>
      </w:r>
      <w:proofErr w:type="spellEnd"/>
      <w:r w:rsidR="0085369B">
        <w:t xml:space="preserve"> et al. </w:t>
      </w:r>
      <w:r w:rsidR="0085369B">
        <w:lastRenderedPageBreak/>
        <w:t xml:space="preserve">(2024) </w:t>
      </w:r>
      <w:r>
        <w:t xml:space="preserve">imputation, unit </w:t>
      </w:r>
      <w:proofErr w:type="spellStart"/>
      <w:r>
        <w:t>harmonisation</w:t>
      </w:r>
      <w:proofErr w:type="spellEnd"/>
      <w:r>
        <w:t>,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w:t>
      </w:r>
      <w:proofErr w:type="spellStart"/>
      <w:r>
        <w:t>utilisation</w:t>
      </w:r>
      <w:proofErr w:type="spellEnd"/>
      <w:r>
        <w:t xml:space="preserve"> figures, which the data model already stores and no service currently reads. Any such figure must be bounded by the fact that machine hours are populated on three of eight seeded </w:t>
      </w:r>
      <w:proofErr w:type="spellStart"/>
      <w:r>
        <w:t>mechanisation</w:t>
      </w:r>
      <w:proofErr w:type="spellEnd"/>
      <w:r>
        <w:t xml:space="preserve">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 xml:space="preserve">Implement the feature-phone entry channel against a live carrier gateway. Nothing of this channel exists today, so this is construction rather than </w:t>
      </w:r>
      <w:r>
        <w:lastRenderedPageBreak/>
        <w:t>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a representative sample of smallholder and medium-scale farmers using the platform for their own records over a defined period, with task-completion rates, System Usability 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7" w:name="_Toc238621489"/>
      <w:r>
        <w:rPr>
          <w:szCs w:val="28"/>
        </w:rPr>
        <w:lastRenderedPageBreak/>
        <w:t>REFERENCES</w:t>
      </w:r>
      <w:bookmarkEnd w:id="137"/>
    </w:p>
    <w:p w:rsidR="0054721A" w:rsidRDefault="008A0666" w:rsidP="0054721A">
      <w:pPr>
        <w:pStyle w:val="ReferenceItem"/>
      </w:pPr>
      <w:proofErr w:type="spellStart"/>
      <w:r>
        <w:rPr>
          <w:szCs w:val="24"/>
        </w:rPr>
        <w:t>Abbasi</w:t>
      </w:r>
      <w:proofErr w:type="spellEnd"/>
      <w:r>
        <w:rPr>
          <w:szCs w:val="24"/>
        </w:rPr>
        <w:t>, R., Martinez, P., &amp; Ahmad, R. (2022). The digitiza</w:t>
      </w:r>
      <w:r w:rsidR="00B11A38">
        <w:rPr>
          <w:szCs w:val="24"/>
        </w:rPr>
        <w:t xml:space="preserve">tion of agricultural industry </w:t>
      </w:r>
      <w:proofErr w:type="gramStart"/>
      <w:r>
        <w:rPr>
          <w:szCs w:val="24"/>
        </w:rPr>
        <w:t>A</w:t>
      </w:r>
      <w:proofErr w:type="gramEnd"/>
      <w:r>
        <w:rPr>
          <w:szCs w:val="24"/>
        </w:rPr>
        <w:t xml:space="preserve"> systematic literature review on agriculture 4.0. Smart Agricultural Technology, 2, Article 100042. https://doi.org/10.1016/j.atech.2022.100042</w:t>
      </w:r>
    </w:p>
    <w:p w:rsidR="0054721A" w:rsidRDefault="008A0666" w:rsidP="0054721A">
      <w:pPr>
        <w:pStyle w:val="ReferenceItem"/>
      </w:pPr>
      <w:proofErr w:type="spellStart"/>
      <w:r>
        <w:t>Abioye</w:t>
      </w:r>
      <w:proofErr w:type="spellEnd"/>
      <w:r>
        <w:t xml:space="preserve">, D. O., </w:t>
      </w:r>
      <w:proofErr w:type="spellStart"/>
      <w:r>
        <w:t>Popoola</w:t>
      </w:r>
      <w:proofErr w:type="spellEnd"/>
      <w:r>
        <w:t xml:space="preserve">, O., </w:t>
      </w:r>
      <w:proofErr w:type="spellStart"/>
      <w:r>
        <w:t>Akande</w:t>
      </w:r>
      <w:proofErr w:type="spellEnd"/>
      <w:r>
        <w:t xml:space="preserve">, A., </w:t>
      </w:r>
      <w:proofErr w:type="spellStart"/>
      <w:r>
        <w:t>Fadare</w:t>
      </w:r>
      <w:proofErr w:type="spellEnd"/>
      <w:r>
        <w:t xml:space="preserve">, D. A., </w:t>
      </w:r>
      <w:proofErr w:type="spellStart"/>
      <w:r>
        <w:t>Omitoyin</w:t>
      </w:r>
      <w:proofErr w:type="spellEnd"/>
      <w:r>
        <w:t xml:space="preserve">, S. A., </w:t>
      </w:r>
      <w:proofErr w:type="spellStart"/>
      <w:r>
        <w:t>Yinusa</w:t>
      </w:r>
      <w:proofErr w:type="spellEnd"/>
      <w:r>
        <w:t xml:space="preserve">, B., &amp; </w:t>
      </w:r>
      <w:proofErr w:type="spellStart"/>
      <w:r>
        <w:t>Kolade</w:t>
      </w:r>
      <w:proofErr w:type="spellEnd"/>
      <w:r>
        <w:t>,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Application of digital technologies for ensuring agricultural productivity. </w:t>
      </w:r>
      <w:proofErr w:type="spellStart"/>
      <w:r>
        <w:t>Heliyon</w:t>
      </w:r>
      <w:proofErr w:type="spellEnd"/>
      <w:r>
        <w:t>,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proofErr w:type="spellStart"/>
      <w:r>
        <w:t>Baidhe</w:t>
      </w:r>
      <w:proofErr w:type="spellEnd"/>
      <w:r>
        <w:t xml:space="preserve">, E., Clementson, C. L., </w:t>
      </w:r>
      <w:proofErr w:type="spellStart"/>
      <w:r>
        <w:t>Senyah</w:t>
      </w:r>
      <w:proofErr w:type="spellEnd"/>
      <w:r>
        <w:t xml:space="preserve">, J., &amp; Hammed, A. (2024). Appraisal of post-harvest drying and storage operations in Africa: Perspectives on enhancing grain quality. </w:t>
      </w:r>
      <w:proofErr w:type="spellStart"/>
      <w:r>
        <w:t>AgriEngineering</w:t>
      </w:r>
      <w:proofErr w:type="spellEnd"/>
      <w:r>
        <w:t>, 6(3), 3030–3057. https://doi.org/10.3390/agriengineering6030174</w:t>
      </w:r>
    </w:p>
    <w:p w:rsidR="0054721A" w:rsidRDefault="008A0666" w:rsidP="0054721A">
      <w:pPr>
        <w:pStyle w:val="ReferenceItem"/>
      </w:pPr>
      <w:proofErr w:type="spellStart"/>
      <w:r>
        <w:t>Basir</w:t>
      </w:r>
      <w:proofErr w:type="spellEnd"/>
      <w:r>
        <w:t xml:space="preserve">, M. S., </w:t>
      </w:r>
      <w:proofErr w:type="spellStart"/>
      <w:r>
        <w:t>Buckmaster</w:t>
      </w:r>
      <w:proofErr w:type="spellEnd"/>
      <w:r>
        <w:t xml:space="preserve">, D. R., </w:t>
      </w:r>
      <w:proofErr w:type="spellStart"/>
      <w:r>
        <w:t>Raturi</w:t>
      </w:r>
      <w:proofErr w:type="spellEnd"/>
      <w:r>
        <w:t>, A., &amp; Zhang, Y. (2024). From pen and paper to digital precision: A comprehensive review of on-farm recordkeeping. Precision Agriculture, 25(6), 2643–2682. https://doi.org/10.1007/s11119-024-10172-7</w:t>
      </w:r>
    </w:p>
    <w:p w:rsidR="0054721A" w:rsidRDefault="008A0666" w:rsidP="0054721A">
      <w:pPr>
        <w:pStyle w:val="ReferenceItem"/>
      </w:pPr>
      <w:r>
        <w:t xml:space="preserve">Brooke, J. (1996). SUS: A “quick and dirty” usability scale. In P. W. Jordan, B. Thomas, B. A. </w:t>
      </w:r>
      <w:proofErr w:type="spellStart"/>
      <w:r>
        <w:t>Weerdmeester</w:t>
      </w:r>
      <w:proofErr w:type="spellEnd"/>
      <w:r>
        <w:t>, &amp; I. L. McClelland (Eds.), Usability evaluation in industry (pp. 189–194). Taylor &amp; Francis.</w:t>
      </w:r>
    </w:p>
    <w:p w:rsidR="0054721A" w:rsidRDefault="008A0666" w:rsidP="0054721A">
      <w:pPr>
        <w:pStyle w:val="ReferenceItem"/>
      </w:pPr>
      <w:proofErr w:type="spellStart"/>
      <w:r>
        <w:t>Carrer</w:t>
      </w:r>
      <w:proofErr w:type="spellEnd"/>
      <w:r>
        <w:t xml:space="preserve">, M. J., de Souza </w:t>
      </w:r>
      <w:proofErr w:type="spellStart"/>
      <w:r>
        <w:t>Filho</w:t>
      </w:r>
      <w:proofErr w:type="spellEnd"/>
      <w:r>
        <w:t xml:space="preserve">, H. M., &amp; </w:t>
      </w:r>
      <w:proofErr w:type="spellStart"/>
      <w:r>
        <w:t>Batalha</w:t>
      </w:r>
      <w:proofErr w:type="spellEnd"/>
      <w:r>
        <w:t xml:space="preserve">,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 xml:space="preserve">CIMMYT. (1988). </w:t>
      </w:r>
      <w:proofErr w:type="gramStart"/>
      <w:r>
        <w:rPr>
          <w:szCs w:val="24"/>
        </w:rPr>
        <w:t>From</w:t>
      </w:r>
      <w:proofErr w:type="gramEnd"/>
      <w:r>
        <w:rPr>
          <w:szCs w:val="24"/>
        </w:rPr>
        <w:t xml:space="preserve"> agronomic data to farmer recommendations: An economics training manual (Rev. ed.). International Maize and Wheat Improvement Center.</w:t>
      </w:r>
    </w:p>
    <w:p w:rsidR="0054721A" w:rsidRDefault="008A0666" w:rsidP="0054721A">
      <w:pPr>
        <w:pStyle w:val="ReferenceItem"/>
      </w:pPr>
      <w:proofErr w:type="spellStart"/>
      <w:r>
        <w:t>Dayıoğlu</w:t>
      </w:r>
      <w:proofErr w:type="spellEnd"/>
      <w:r>
        <w:t xml:space="preserve">, M. A., &amp; </w:t>
      </w:r>
      <w:proofErr w:type="spellStart"/>
      <w:r>
        <w:t>Türker</w:t>
      </w:r>
      <w:proofErr w:type="spellEnd"/>
      <w:r>
        <w:t>, U. (2021). Digital transformation for sustainable future — Agriculture 4.0: A review. Journal of Agricultural Sciences, 27(4), 373–399. https://doi.org/10.15832/ankutbd.986431</w:t>
      </w:r>
    </w:p>
    <w:p w:rsidR="0054721A" w:rsidRDefault="008A0666" w:rsidP="0054721A">
      <w:pPr>
        <w:pStyle w:val="ReferenceItem"/>
      </w:pPr>
      <w:proofErr w:type="spellStart"/>
      <w:r>
        <w:t>Erbay</w:t>
      </w:r>
      <w:proofErr w:type="spellEnd"/>
      <w:r>
        <w:t>,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w:t>
      </w:r>
      <w:proofErr w:type="spellStart"/>
      <w:r>
        <w:t>n.d.</w:t>
      </w:r>
      <w:proofErr w:type="spellEnd"/>
      <w:r>
        <w:t>). Maize: Post-harvest operations (Post-harvest Compendium). FAO. https://www.fao.org/fileadmin/user_upload/inpho/docs/Post_Harvest_Compendium_-_MAIZE.pdf</w:t>
      </w:r>
    </w:p>
    <w:p w:rsidR="0054721A" w:rsidRDefault="008A0666" w:rsidP="0054721A">
      <w:pPr>
        <w:pStyle w:val="ReferenceItem"/>
      </w:pPr>
      <w:r>
        <w:t xml:space="preserve">Food and Agriculture Organization of the United Nations. (1988). Farm structures in tropical climates: A textbook for structural engineering and design (L. P. </w:t>
      </w:r>
      <w:proofErr w:type="spellStart"/>
      <w:r>
        <w:t>Bengtsson</w:t>
      </w:r>
      <w:proofErr w:type="spellEnd"/>
      <w:r>
        <w:t xml:space="preserve"> &amp; J. H. Whitaker, Eds.). FAO. https://www.fao.org/4/s1250e/S1250E00.htm</w:t>
      </w:r>
    </w:p>
    <w:p w:rsidR="0054721A" w:rsidRDefault="008A0666" w:rsidP="0054721A">
      <w:pPr>
        <w:pStyle w:val="ReferenceItem"/>
      </w:pPr>
      <w:r>
        <w:t xml:space="preserve">Food and Agriculture Organization of the United Nations. (1998). Storage and processing of roots and tubers in the tropics (A. </w:t>
      </w:r>
      <w:proofErr w:type="spellStart"/>
      <w:r>
        <w:t>Diop</w:t>
      </w:r>
      <w:proofErr w:type="spellEnd"/>
      <w:r>
        <w:t>, Author; D. J. B. Calverley, Ed.). Agro-industries and Post-Harvest Management Service, Agricultural Support Systems Division, FAO. https://www.fao.org/4/x5415e/x5415e00.htm</w:t>
      </w:r>
    </w:p>
    <w:p w:rsidR="0054721A" w:rsidRDefault="008A0666" w:rsidP="0054721A">
      <w:pPr>
        <w:pStyle w:val="ReferenceItem"/>
      </w:pPr>
      <w:proofErr w:type="spellStart"/>
      <w:r>
        <w:t>Fountas</w:t>
      </w:r>
      <w:proofErr w:type="spellEnd"/>
      <w:r>
        <w:t xml:space="preserve">, S., Carli, G., </w:t>
      </w:r>
      <w:proofErr w:type="spellStart"/>
      <w:r>
        <w:t>Sørensen</w:t>
      </w:r>
      <w:proofErr w:type="spellEnd"/>
      <w:r>
        <w:t xml:space="preserve">, C. G., </w:t>
      </w:r>
      <w:proofErr w:type="spellStart"/>
      <w:r>
        <w:t>Tsiropoulos</w:t>
      </w:r>
      <w:proofErr w:type="spellEnd"/>
      <w:r>
        <w:t xml:space="preserve">, Z., </w:t>
      </w:r>
      <w:proofErr w:type="spellStart"/>
      <w:r>
        <w:t>Cavalaris</w:t>
      </w:r>
      <w:proofErr w:type="spellEnd"/>
      <w:r>
        <w:t xml:space="preserve">, C., </w:t>
      </w:r>
      <w:proofErr w:type="spellStart"/>
      <w:r>
        <w:t>Vatsanidou</w:t>
      </w:r>
      <w:proofErr w:type="spellEnd"/>
      <w:r>
        <w:t xml:space="preserve">, A., </w:t>
      </w:r>
      <w:proofErr w:type="spellStart"/>
      <w:r>
        <w:t>Liakos</w:t>
      </w:r>
      <w:proofErr w:type="spellEnd"/>
      <w:r>
        <w:t xml:space="preserve">, B., </w:t>
      </w:r>
      <w:proofErr w:type="spellStart"/>
      <w:r>
        <w:t>Canavari</w:t>
      </w:r>
      <w:proofErr w:type="spellEnd"/>
      <w:r>
        <w:t xml:space="preserve">, M., </w:t>
      </w:r>
      <w:proofErr w:type="spellStart"/>
      <w:r>
        <w:t>Wiebensohn</w:t>
      </w:r>
      <w:proofErr w:type="spellEnd"/>
      <w:r>
        <w:t xml:space="preserve">, J., &amp; </w:t>
      </w:r>
      <w:proofErr w:type="spellStart"/>
      <w:r>
        <w:t>Tisserye</w:t>
      </w:r>
      <w:proofErr w:type="spellEnd"/>
      <w:r>
        <w:t xml:space="preserv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proofErr w:type="spellStart"/>
      <w:r>
        <w:t>Gebresenbet</w:t>
      </w:r>
      <w:proofErr w:type="spellEnd"/>
      <w:r>
        <w:t xml:space="preserve">, G., </w:t>
      </w:r>
      <w:proofErr w:type="spellStart"/>
      <w:r>
        <w:t>Bosona</w:t>
      </w:r>
      <w:proofErr w:type="spellEnd"/>
      <w:r>
        <w:t xml:space="preserve">, T., Patterson, D., </w:t>
      </w:r>
      <w:proofErr w:type="spellStart"/>
      <w:r>
        <w:t>Persson</w:t>
      </w:r>
      <w:proofErr w:type="spellEnd"/>
      <w:r>
        <w:t xml:space="preserve">, H., Fischer, B., </w:t>
      </w:r>
      <w:proofErr w:type="spellStart"/>
      <w:r>
        <w:t>Mandaluniz</w:t>
      </w:r>
      <w:proofErr w:type="spellEnd"/>
      <w:r>
        <w:t xml:space="preserve">, N., </w:t>
      </w:r>
      <w:proofErr w:type="spellStart"/>
      <w:r>
        <w:t>Chirici</w:t>
      </w:r>
      <w:proofErr w:type="spellEnd"/>
      <w:r>
        <w:t xml:space="preserve">, G., </w:t>
      </w:r>
      <w:proofErr w:type="spellStart"/>
      <w:r>
        <w:t>Zacepins</w:t>
      </w:r>
      <w:proofErr w:type="spellEnd"/>
      <w:r>
        <w:t xml:space="preserve">, A., </w:t>
      </w:r>
      <w:proofErr w:type="spellStart"/>
      <w:r>
        <w:t>Komasilovs</w:t>
      </w:r>
      <w:proofErr w:type="spellEnd"/>
      <w:r>
        <w:t xml:space="preserve">, V., </w:t>
      </w:r>
      <w:proofErr w:type="spellStart"/>
      <w:r>
        <w:t>Pitulac</w:t>
      </w:r>
      <w:proofErr w:type="spellEnd"/>
      <w:r>
        <w:t xml:space="preserve">, T., &amp; </w:t>
      </w:r>
      <w:proofErr w:type="spellStart"/>
      <w:r>
        <w:t>Nasirahmadi</w:t>
      </w:r>
      <w:proofErr w:type="spellEnd"/>
      <w:r>
        <w:t>,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proofErr w:type="spellStart"/>
      <w:r>
        <w:t>Giua</w:t>
      </w:r>
      <w:proofErr w:type="spellEnd"/>
      <w:r>
        <w:t xml:space="preserve">, C., Materia, V. C., &amp; </w:t>
      </w:r>
      <w:proofErr w:type="spellStart"/>
      <w:r>
        <w:t>Camanzi</w:t>
      </w:r>
      <w:proofErr w:type="spellEnd"/>
      <w:r>
        <w:t>,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w:t>
      </w:r>
      <w:r w:rsidR="00B11A38">
        <w:rPr>
          <w:szCs w:val="24"/>
        </w:rPr>
        <w:t>). Mississippi State University</w:t>
      </w:r>
      <w:r w:rsidR="00B11A38">
        <w:rPr>
          <w:szCs w:val="24"/>
        </w:rPr>
        <w:tab/>
        <w:t>Extension</w:t>
      </w:r>
      <w:r w:rsidR="00B11A38">
        <w:rPr>
          <w:szCs w:val="24"/>
        </w:rPr>
        <w:tab/>
      </w:r>
      <w:r>
        <w:rPr>
          <w:szCs w:val="24"/>
        </w:rPr>
        <w:t>Service. https://extension.msstate.edu/sites/default/files/publications/P3712_web.pdf</w:t>
      </w:r>
    </w:p>
    <w:p w:rsidR="0054721A" w:rsidRDefault="008A0666" w:rsidP="0054721A">
      <w:pPr>
        <w:pStyle w:val="ReferenceItem"/>
      </w:pPr>
      <w:r>
        <w:t xml:space="preserve">Henderson, S. M., &amp; </w:t>
      </w:r>
      <w:proofErr w:type="spellStart"/>
      <w:r>
        <w:t>Pabis</w:t>
      </w:r>
      <w:proofErr w:type="spellEnd"/>
      <w:r>
        <w:t>, S. (1961). Grain drying theory I: Temperature effect on drying coefficient. Journal of Agricultural Engineering Research, 6(3), 169–174.</w:t>
      </w:r>
    </w:p>
    <w:p w:rsidR="0054721A" w:rsidRDefault="008A0666" w:rsidP="0054721A">
      <w:pPr>
        <w:pStyle w:val="ReferenceItem"/>
      </w:pPr>
      <w:proofErr w:type="spellStart"/>
      <w:r>
        <w:t>Husemann</w:t>
      </w:r>
      <w:proofErr w:type="spellEnd"/>
      <w:r>
        <w:t xml:space="preserve">, C., &amp; </w:t>
      </w:r>
      <w:proofErr w:type="spellStart"/>
      <w:r>
        <w:t>Novković</w:t>
      </w:r>
      <w:proofErr w:type="spellEnd"/>
      <w:r>
        <w:t>, N. (2012). The model of farm management information system: A case study of a dive</w:t>
      </w:r>
      <w:r w:rsidR="00B11A38">
        <w:t xml:space="preserve">rsified German farm. DETUROPE </w:t>
      </w:r>
      <w:proofErr w:type="gramStart"/>
      <w:r>
        <w:t>The</w:t>
      </w:r>
      <w:proofErr w:type="gramEnd"/>
      <w:r>
        <w:t xml:space="preserve"> Central European Journal of Regional Development and Tourism, 4(1), 76–90.</w:t>
      </w:r>
    </w:p>
    <w:p w:rsidR="0054721A" w:rsidRDefault="008A0666" w:rsidP="0054721A">
      <w:pPr>
        <w:pStyle w:val="ReferenceItem"/>
      </w:pPr>
      <w:proofErr w:type="spellStart"/>
      <w:r>
        <w:t>Javaid</w:t>
      </w:r>
      <w:proofErr w:type="spellEnd"/>
      <w:r>
        <w:t>,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 xml:space="preserve">Johnson, J. (2020). Farm machinery cost calculations (Publication 3543). Mississippi State </w:t>
      </w:r>
      <w:r w:rsidR="00B11A38">
        <w:rPr>
          <w:szCs w:val="24"/>
        </w:rPr>
        <w:tab/>
      </w:r>
      <w:r>
        <w:rPr>
          <w:szCs w:val="24"/>
        </w:rPr>
        <w:t xml:space="preserve">University </w:t>
      </w:r>
      <w:r w:rsidR="00B11A38">
        <w:rPr>
          <w:szCs w:val="24"/>
        </w:rPr>
        <w:tab/>
      </w:r>
      <w:r>
        <w:rPr>
          <w:szCs w:val="24"/>
        </w:rPr>
        <w:t xml:space="preserve">Extension </w:t>
      </w:r>
      <w:r w:rsidR="00B11A38">
        <w:rPr>
          <w:szCs w:val="24"/>
        </w:rPr>
        <w:tab/>
      </w:r>
      <w:r>
        <w:rPr>
          <w:szCs w:val="24"/>
        </w:rPr>
        <w:t>Service. https://www.agecon.msstate.edu/whatwedo/budgets.php</w:t>
      </w:r>
    </w:p>
    <w:p w:rsidR="0054721A" w:rsidRDefault="008A0666" w:rsidP="0054721A">
      <w:pPr>
        <w:pStyle w:val="ReferenceItem"/>
      </w:pPr>
      <w:r>
        <w:t xml:space="preserve">Kay, R. D., Edwards, W. M., &amp; Duffy, P. A. (2016). Farm management (8th </w:t>
      </w:r>
      <w:proofErr w:type="gramStart"/>
      <w:r>
        <w:t>ed</w:t>
      </w:r>
      <w:proofErr w:type="gramEnd"/>
      <w:r>
        <w:t>.).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proofErr w:type="spellStart"/>
      <w:r>
        <w:rPr>
          <w:szCs w:val="24"/>
        </w:rPr>
        <w:t>Meinshausen</w:t>
      </w:r>
      <w:proofErr w:type="spellEnd"/>
      <w:r>
        <w:rPr>
          <w:szCs w:val="24"/>
        </w:rPr>
        <w:t>, N. (2006). Quantile regression forests. Journal of Machine Learning Research, 7, 983–999.</w:t>
      </w:r>
    </w:p>
    <w:p w:rsidR="0054721A" w:rsidRDefault="008A0666" w:rsidP="0054721A">
      <w:pPr>
        <w:pStyle w:val="ReferenceItem"/>
      </w:pPr>
      <w:r>
        <w:t xml:space="preserve">Mhlanga, D., &amp; </w:t>
      </w:r>
      <w:proofErr w:type="spellStart"/>
      <w:r>
        <w:t>Ndhlovu</w:t>
      </w:r>
      <w:proofErr w:type="spellEnd"/>
      <w:r>
        <w:t>,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 xml:space="preserve">Nielsen, J., &amp; </w:t>
      </w:r>
      <w:proofErr w:type="spellStart"/>
      <w:r>
        <w:t>Molich</w:t>
      </w:r>
      <w:proofErr w:type="spellEnd"/>
      <w:r>
        <w:t xml:space="preserve">, R. (1990). Heuristic evaluation of user interfaces. In Proceedings of the SIGCHI Conference on Human Factors in Computing Systems (pp. 249–256). </w:t>
      </w:r>
      <w:r w:rsidR="00B11A38">
        <w:tab/>
      </w:r>
      <w:r>
        <w:t xml:space="preserve">Association </w:t>
      </w:r>
      <w:r w:rsidR="00B11A38">
        <w:tab/>
      </w:r>
      <w:r>
        <w:t xml:space="preserve">for </w:t>
      </w:r>
      <w:r w:rsidR="00B11A38">
        <w:tab/>
      </w:r>
      <w:r>
        <w:t xml:space="preserve">Computing </w:t>
      </w:r>
      <w:r w:rsidR="00B11A38">
        <w:tab/>
      </w:r>
      <w:r>
        <w:t>Machinery. https://doi.org/10.1145/97243.97281</w:t>
      </w:r>
    </w:p>
    <w:p w:rsidR="0054721A" w:rsidRDefault="008A0666" w:rsidP="0054721A">
      <w:pPr>
        <w:pStyle w:val="ReferenceItem"/>
      </w:pPr>
      <w:proofErr w:type="spellStart"/>
      <w:r>
        <w:t>Olisah</w:t>
      </w:r>
      <w:proofErr w:type="spellEnd"/>
      <w:r>
        <w:t xml:space="preserve">, C. C., Smith, L., Smith, M., Lawrence, M. O., &amp; </w:t>
      </w:r>
      <w:proofErr w:type="spellStart"/>
      <w:r>
        <w:t>Ojukwu</w:t>
      </w:r>
      <w:proofErr w:type="spellEnd"/>
      <w:r>
        <w:t>, O. (2024). Corn yield prediction model with deep neural networks for smallholder farmer decision support system (arXiv</w:t>
      </w:r>
      <w:proofErr w:type="gramStart"/>
      <w:r>
        <w:t>:2401.03768</w:t>
      </w:r>
      <w:proofErr w:type="gramEnd"/>
      <w:r>
        <w:t xml:space="preserve">) [Preprint]. </w:t>
      </w:r>
      <w:proofErr w:type="spellStart"/>
      <w:proofErr w:type="gramStart"/>
      <w:r>
        <w:t>arXiv</w:t>
      </w:r>
      <w:proofErr w:type="spellEnd"/>
      <w:proofErr w:type="gramEnd"/>
      <w:r>
        <w:t>. https://doi.org/10.48550/arXiv.2401.03768</w:t>
      </w:r>
    </w:p>
    <w:p w:rsidR="0054721A" w:rsidRDefault="008A0666" w:rsidP="0054721A">
      <w:pPr>
        <w:pStyle w:val="ReferenceItem"/>
      </w:pPr>
      <w:proofErr w:type="spellStart"/>
      <w:r>
        <w:t>Onwude</w:t>
      </w:r>
      <w:proofErr w:type="spellEnd"/>
      <w:r>
        <w:t xml:space="preserve">, D. I., </w:t>
      </w:r>
      <w:proofErr w:type="spellStart"/>
      <w:r>
        <w:t>Hashim</w:t>
      </w:r>
      <w:proofErr w:type="spellEnd"/>
      <w:r>
        <w:t xml:space="preserve">, N., </w:t>
      </w:r>
      <w:proofErr w:type="spellStart"/>
      <w:r>
        <w:t>Janius</w:t>
      </w:r>
      <w:proofErr w:type="spellEnd"/>
      <w:r>
        <w:t xml:space="preserve">, R. B., </w:t>
      </w:r>
      <w:proofErr w:type="spellStart"/>
      <w:r>
        <w:t>Nawi</w:t>
      </w:r>
      <w:proofErr w:type="spellEnd"/>
      <w:r>
        <w:t xml:space="preserve">, N. M., &amp; </w:t>
      </w:r>
      <w:proofErr w:type="spellStart"/>
      <w:r>
        <w:t>Abdan</w:t>
      </w:r>
      <w:proofErr w:type="spellEnd"/>
      <w:r>
        <w:t xml:space="preserve">,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proofErr w:type="spellStart"/>
      <w:r>
        <w:t>Poppe</w:t>
      </w:r>
      <w:proofErr w:type="spellEnd"/>
      <w:r>
        <w:t xml:space="preserve">, K., </w:t>
      </w:r>
      <w:proofErr w:type="spellStart"/>
      <w:r>
        <w:t>Vrolijk</w:t>
      </w:r>
      <w:proofErr w:type="spellEnd"/>
      <w:r>
        <w:t xml:space="preserve">, H., &amp; </w:t>
      </w:r>
      <w:proofErr w:type="spellStart"/>
      <w:r>
        <w:t>Bosloper</w:t>
      </w:r>
      <w:proofErr w:type="spellEnd"/>
      <w:r>
        <w:t>,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proofErr w:type="spellStart"/>
      <w:r>
        <w:t>Tummers</w:t>
      </w:r>
      <w:proofErr w:type="spellEnd"/>
      <w:r>
        <w:t xml:space="preserve">, J., </w:t>
      </w:r>
      <w:proofErr w:type="spellStart"/>
      <w:r>
        <w:t>Kassahun</w:t>
      </w:r>
      <w:proofErr w:type="spellEnd"/>
      <w:r>
        <w:t xml:space="preserve">, A., &amp; </w:t>
      </w:r>
      <w:proofErr w:type="spellStart"/>
      <w:r>
        <w:t>Tekinerdogan</w:t>
      </w:r>
      <w:proofErr w:type="spellEnd"/>
      <w:r>
        <w:t xml:space="preserve">, B. (2019). Obstacles and features of farm management information systems: A systematic literature review. Computers and </w:t>
      </w:r>
      <w:r w:rsidR="00B11A38">
        <w:tab/>
      </w:r>
      <w:r>
        <w:t xml:space="preserve">Electronics </w:t>
      </w:r>
      <w:r w:rsidR="00B11A38">
        <w:tab/>
      </w:r>
      <w:r>
        <w:t xml:space="preserve">in </w:t>
      </w:r>
      <w:r w:rsidR="00B11A38">
        <w:tab/>
      </w:r>
      <w:r>
        <w:t xml:space="preserve">Agriculture, </w:t>
      </w:r>
      <w:r w:rsidR="00B11A38">
        <w:tab/>
      </w:r>
      <w:r>
        <w:t xml:space="preserve">157, </w:t>
      </w:r>
      <w:r w:rsidR="00B11A38">
        <w:tab/>
      </w:r>
      <w:bookmarkStart w:id="138" w:name="_GoBack"/>
      <w:bookmarkEnd w:id="138"/>
      <w:r>
        <w:t>189–204. https://doi.org/10.1016/j.compag.2018.12.044</w:t>
      </w:r>
    </w:p>
    <w:p w:rsidR="0054721A" w:rsidRDefault="008A0666" w:rsidP="0054721A">
      <w:pPr>
        <w:pStyle w:val="ReferenceItem"/>
      </w:pPr>
      <w:proofErr w:type="gramStart"/>
      <w:r>
        <w:t>van</w:t>
      </w:r>
      <w:proofErr w:type="gramEnd"/>
      <w:r>
        <w:t xml:space="preserve"> </w:t>
      </w:r>
      <w:proofErr w:type="spellStart"/>
      <w:r>
        <w:t>Klompenburg</w:t>
      </w:r>
      <w:proofErr w:type="spellEnd"/>
      <w:r>
        <w:t xml:space="preserve">, T., </w:t>
      </w:r>
      <w:proofErr w:type="spellStart"/>
      <w:r>
        <w:t>Kassahun</w:t>
      </w:r>
      <w:proofErr w:type="spellEnd"/>
      <w:r>
        <w:t xml:space="preserve">, A., &amp; </w:t>
      </w:r>
      <w:proofErr w:type="spellStart"/>
      <w:r>
        <w:t>Catal</w:t>
      </w:r>
      <w:proofErr w:type="spellEnd"/>
      <w:r>
        <w:t>,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 xml:space="preserve">Wager, S., Hastie, T., &amp; </w:t>
      </w:r>
      <w:proofErr w:type="spellStart"/>
      <w:r>
        <w:rPr>
          <w:szCs w:val="24"/>
        </w:rPr>
        <w:t>Efron</w:t>
      </w:r>
      <w:proofErr w:type="spellEnd"/>
      <w:r>
        <w:rPr>
          <w:szCs w:val="24"/>
        </w:rPr>
        <w:t>, B. (2014). Confidence intervals for random forests: The jackknife and the infinitesimal jackknife. Journal of Machine Learning Research, 15(1), 1625–1651.</w:t>
      </w:r>
    </w:p>
    <w:p w:rsidR="0054721A" w:rsidRDefault="008A0666" w:rsidP="0054721A">
      <w:pPr>
        <w:pStyle w:val="ReferenceItem"/>
      </w:pPr>
      <w:proofErr w:type="spellStart"/>
      <w:r>
        <w:t>Xiong</w:t>
      </w:r>
      <w:proofErr w:type="spellEnd"/>
      <w:r>
        <w:t xml:space="preserve">, H., </w:t>
      </w:r>
      <w:proofErr w:type="spellStart"/>
      <w:r>
        <w:t>Dalhaus</w:t>
      </w:r>
      <w:proofErr w:type="spellEnd"/>
      <w:r>
        <w:t xml:space="preserve">, T., Wang, P., &amp; Huang, J. (2020). </w:t>
      </w:r>
      <w:proofErr w:type="spellStart"/>
      <w:r>
        <w:t>Blockchain</w:t>
      </w:r>
      <w:proofErr w:type="spellEnd"/>
      <w:r>
        <w:t xml:space="preserve"> technology for agriculture: Applications and rationale. Frontiers in </w:t>
      </w:r>
      <w:proofErr w:type="spellStart"/>
      <w:r>
        <w:t>Blockchain</w:t>
      </w:r>
      <w:proofErr w:type="spellEnd"/>
      <w:r>
        <w:t>,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Style w:val="TableGrid"/>
        <w:tblW w:w="8504" w:type="dxa"/>
        <w:jc w:val="center"/>
        <w:tblCellSpacing w:w="1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5129"/>
        <w:gridCol w:w="3375"/>
      </w:tblGrid>
      <w:tr w:rsidR="00A9561D" w:rsidRPr="00A9561D" w:rsidTr="00A9561D">
        <w:trPr>
          <w:cantSplit/>
          <w:tblHeader/>
          <w:tblCellSpacing w:w="15" w:type="dxa"/>
          <w:jc w:val="center"/>
        </w:trPr>
        <w:tc>
          <w:tcPr>
            <w:tcW w:w="5139"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Capability</w:t>
            </w:r>
          </w:p>
        </w:tc>
        <w:tc>
          <w:tcPr>
            <w:tcW w:w="3365"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Status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w:t>
            </w:r>
            <w:proofErr w:type="spellStart"/>
            <w:r w:rsidRPr="00A9561D">
              <w:rPr>
                <w:lang w:val="en-GB"/>
              </w:rPr>
              <w:t>idempotency</w:t>
            </w:r>
            <w:proofErr w:type="spellEnd"/>
            <w:r w:rsidRPr="00A9561D">
              <w:rPr>
                <w:lang w:val="en-GB"/>
              </w:rPr>
              <w: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w:t>
            </w:r>
            <w:proofErr w:type="spellStart"/>
            <w:r w:rsidRPr="00A9561D">
              <w:rPr>
                <w:lang w:val="en-GB"/>
              </w:rPr>
              <w:t>reverses_id</w:t>
            </w:r>
            <w:proofErr w:type="spellEnd"/>
            <w:r w:rsidRPr="00A9561D">
              <w:rPr>
                <w:lang w:val="en-GB"/>
              </w:rPr>
              <w:t>; double reversal and cross-farm tampering are rejected.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w:t>
            </w:r>
            <w:r w:rsidRPr="00A9561D">
              <w:rPr>
                <w:lang w:val="en-GB"/>
              </w:rPr>
              <w:t xml:space="preserve"> Page and Newton model fitting, </w:t>
            </w:r>
            <w:proofErr w:type="spellStart"/>
            <w:r w:rsidRPr="00A9561D">
              <w:rPr>
                <w:lang w:val="en-GB"/>
              </w:rPr>
              <w:t>wet↔dry</w:t>
            </w:r>
            <w:proofErr w:type="spellEnd"/>
            <w:r w:rsidRPr="00A9561D">
              <w:rPr>
                <w:lang w:val="en-GB"/>
              </w:rPr>
              <w:t xml:space="preserve"> basis conversion, water balance, safe-storage lookup, per-crop aggregation, and drying-aware unit costs.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Identity and per-farm data boundary:</w:t>
            </w:r>
            <w:r w:rsidRPr="00A9561D">
              <w:rPr>
                <w:lang w:val="en-GB"/>
              </w:rPr>
              <w:t xml:space="preserve"> signed-token authentication with hashed passwords; every query is farm-scoped; a cross-farm read returns HTTP 404.</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Olympic-average yield baseline:</w:t>
            </w:r>
            <w:r w:rsidRPr="00A9561D">
              <w:rPr>
                <w:lang w:val="en-GB"/>
              </w:rPr>
              <w:t xml:space="preserve"> discards the highest and lowest season before averaging; refused below three seasons, with the season count stated in every branch.</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Rendered by the yield-baseline panel within the enterprise-economics view.</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Every crop that holds a ledger can be entered through the form.</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Per-operation equipment attribution and machine hours.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 xml:space="preserve">Captured but not costed. </w:t>
            </w:r>
            <w:proofErr w:type="spellStart"/>
            <w:proofErr w:type="gramStart"/>
            <w:r w:rsidRPr="00A9561D">
              <w:rPr>
                <w:lang w:val="en-GB"/>
              </w:rPr>
              <w:t>equipment_id</w:t>
            </w:r>
            <w:proofErr w:type="spellEnd"/>
            <w:proofErr w:type="gramEnd"/>
            <w:r w:rsidRPr="00A9561D">
              <w:rPr>
                <w:lang w:val="en-GB"/>
              </w:rPr>
              <w:t xml:space="preserve"> and </w:t>
            </w:r>
            <w:proofErr w:type="spellStart"/>
            <w:r w:rsidRPr="00A9561D">
              <w:rPr>
                <w:lang w:val="en-GB"/>
              </w:rPr>
              <w:t>hours_used</w:t>
            </w:r>
            <w:proofErr w:type="spellEnd"/>
            <w:r w:rsidRPr="00A9561D">
              <w:rPr>
                <w:lang w:val="en-GB"/>
              </w:rPr>
              <w:t xml:space="preserve"> are validated and stored but read by no service. No cost-per-hour, utilisation, or machine-rate figure exists anywhere in the platform, and none is reported in this thesis.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on the running stack.</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Share-token expiry and credential hygiene:</w:t>
            </w:r>
            <w:r w:rsidRPr="00A9561D">
              <w:rPr>
                <w:lang w:val="en-GB"/>
              </w:rPr>
              <w:t xml:space="preserve"> ninety-day expiry, hashed at rest, refused as a bearer credential, and unknown, revoked, and expired tokens all resolve to one identical response.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Monetary and quantity input bounds:</w:t>
            </w:r>
            <w:r w:rsidRPr="00A9561D">
              <w:rPr>
                <w:lang w:val="en-GB"/>
              </w:rPr>
              <w:t xml:space="preserve"> enforced at the schema edge.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Negative, absurd, and non-finite values are rejected.</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Post-harvest drying readings capture:</w:t>
            </w:r>
            <w:r w:rsidRPr="00A9561D">
              <w:rPr>
                <w:lang w:val="en-GB"/>
              </w:rPr>
              <w:t xml:space="preserve"> repeatable time-and-moisture rows on the entry form, validated client-side and plotted.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A Page fit can be obtained from a run entered through the interface.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Bioprocess summary endpoint (GET /bioprocess/summary).</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 xml:space="preserve">Table B.1: Security and </w:t>
      </w:r>
      <w:proofErr w:type="spellStart"/>
      <w:r>
        <w:rPr>
          <w:szCs w:val="24"/>
        </w:rPr>
        <w:t>authorisation</w:t>
      </w:r>
      <w:proofErr w:type="spellEnd"/>
      <w:r>
        <w:rPr>
          <w:szCs w:val="24"/>
        </w:rPr>
        <w:t xml:space="preserve"> verification against the running stack</w:t>
      </w:r>
    </w:p>
    <w:tbl>
      <w:tblPr>
        <w:tblStyle w:val="TableGrid"/>
        <w:tblW w:w="850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gridCol w:w="2835"/>
      </w:tblGrid>
      <w:tr w:rsidR="00605853">
        <w:trPr>
          <w:cantSplit/>
          <w:tblHeader/>
        </w:trPr>
        <w:tc>
          <w:tcPr>
            <w:tcW w:w="2835" w:type="dxa"/>
            <w:tcBorders>
              <w:bottom w:val="single" w:sz="8" w:space="0" w:color="auto"/>
            </w:tcBorders>
            <w:vAlign w:val="center"/>
          </w:tcPr>
          <w:p w:rsidR="00605853" w:rsidRDefault="00204124">
            <w:pPr>
              <w:spacing w:line="240" w:lineRule="auto"/>
              <w:jc w:val="center"/>
            </w:pPr>
            <w:r>
              <w:rPr>
                <w:b/>
              </w:rPr>
              <w:t>Property verified</w:t>
            </w:r>
          </w:p>
        </w:tc>
        <w:tc>
          <w:tcPr>
            <w:tcW w:w="2835" w:type="dxa"/>
            <w:tcBorders>
              <w:bottom w:val="single" w:sz="8" w:space="0" w:color="auto"/>
            </w:tcBorders>
            <w:vAlign w:val="center"/>
          </w:tcPr>
          <w:p w:rsidR="00605853" w:rsidRDefault="00204124">
            <w:pPr>
              <w:spacing w:line="240" w:lineRule="auto"/>
              <w:jc w:val="center"/>
            </w:pPr>
            <w:r>
              <w:rPr>
                <w:b/>
              </w:rPr>
              <w:t>Probe</w:t>
            </w:r>
          </w:p>
        </w:tc>
        <w:tc>
          <w:tcPr>
            <w:tcW w:w="2835"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2835" w:type="dxa"/>
            <w:vAlign w:val="center"/>
          </w:tcPr>
          <w:p w:rsidR="00605853" w:rsidRDefault="00204124">
            <w:pPr>
              <w:spacing w:line="240" w:lineRule="auto"/>
              <w:jc w:val="center"/>
            </w:pPr>
            <w:r>
              <w:t xml:space="preserve">Role-based </w:t>
            </w:r>
            <w:proofErr w:type="spellStart"/>
            <w:r>
              <w:t>authorisation</w:t>
            </w:r>
            <w:proofErr w:type="spellEnd"/>
          </w:p>
        </w:tc>
        <w:tc>
          <w:tcPr>
            <w:tcW w:w="2835" w:type="dxa"/>
            <w:vAlign w:val="center"/>
          </w:tcPr>
          <w:p w:rsidR="00605853" w:rsidRDefault="00204124">
            <w:pPr>
              <w:spacing w:line="240" w:lineRule="auto"/>
              <w:jc w:val="center"/>
            </w:pPr>
            <w:r>
              <w:t>Live matrix over 3 roles and 11 named permissions on the running stack</w:t>
            </w:r>
          </w:p>
        </w:tc>
        <w:tc>
          <w:tcPr>
            <w:tcW w:w="2835" w:type="dxa"/>
            <w:vAlign w:val="center"/>
          </w:tcPr>
          <w:p w:rsidR="00605853" w:rsidRDefault="00204124">
            <w:pPr>
              <w:spacing w:line="240" w:lineRule="auto"/>
              <w:jc w:val="center"/>
            </w:pPr>
            <w:r>
              <w:t>Each role admitted exactly its permitted routes; the 403 body names only the missing permission</w:t>
            </w:r>
          </w:p>
        </w:tc>
      </w:tr>
      <w:tr w:rsidR="00605853">
        <w:trPr>
          <w:cantSplit/>
        </w:trPr>
        <w:tc>
          <w:tcPr>
            <w:tcW w:w="2835" w:type="dxa"/>
            <w:vAlign w:val="center"/>
          </w:tcPr>
          <w:p w:rsidR="00605853" w:rsidRDefault="00204124">
            <w:pPr>
              <w:spacing w:line="240" w:lineRule="auto"/>
              <w:jc w:val="center"/>
            </w:pPr>
            <w:r>
              <w:t>Privilege ceiling</w:t>
            </w:r>
          </w:p>
        </w:tc>
        <w:tc>
          <w:tcPr>
            <w:tcW w:w="2835" w:type="dxa"/>
            <w:vAlign w:val="center"/>
          </w:tcPr>
          <w:p w:rsidR="00605853" w:rsidRDefault="00204124">
            <w:pPr>
              <w:spacing w:line="240" w:lineRule="auto"/>
              <w:jc w:val="center"/>
            </w:pPr>
            <w:r>
              <w:t>POST /</w:t>
            </w:r>
            <w:proofErr w:type="spellStart"/>
            <w:r>
              <w:t>dss</w:t>
            </w:r>
            <w:proofErr w:type="spellEnd"/>
            <w:r>
              <w:t>/train issued as the farm owner</w:t>
            </w:r>
          </w:p>
        </w:tc>
        <w:tc>
          <w:tcPr>
            <w:tcW w:w="2835" w:type="dxa"/>
            <w:vAlign w:val="center"/>
          </w:tcPr>
          <w:p w:rsidR="00605853" w:rsidRDefault="00204124">
            <w:pPr>
              <w:spacing w:line="240" w:lineRule="auto"/>
              <w:jc w:val="center"/>
            </w:pPr>
            <w:r>
              <w:t>403 — no role may retrain the model</w:t>
            </w:r>
          </w:p>
        </w:tc>
      </w:tr>
      <w:tr w:rsidR="00605853">
        <w:trPr>
          <w:cantSplit/>
        </w:trPr>
        <w:tc>
          <w:tcPr>
            <w:tcW w:w="2835" w:type="dxa"/>
            <w:vAlign w:val="center"/>
          </w:tcPr>
          <w:p w:rsidR="00605853" w:rsidRDefault="00204124">
            <w:pPr>
              <w:spacing w:line="240" w:lineRule="auto"/>
              <w:jc w:val="center"/>
            </w:pPr>
            <w:r>
              <w:t>Per-farm isolation</w:t>
            </w:r>
          </w:p>
        </w:tc>
        <w:tc>
          <w:tcPr>
            <w:tcW w:w="2835" w:type="dxa"/>
            <w:vAlign w:val="center"/>
          </w:tcPr>
          <w:p w:rsidR="00605853" w:rsidRDefault="00204124">
            <w:pPr>
              <w:spacing w:line="240" w:lineRule="auto"/>
              <w:jc w:val="center"/>
            </w:pPr>
            <w:r>
              <w:t>Cross-farm read on the enterprise-economics and bioprocess detail routes</w:t>
            </w:r>
          </w:p>
        </w:tc>
        <w:tc>
          <w:tcPr>
            <w:tcW w:w="2835" w:type="dxa"/>
            <w:vAlign w:val="center"/>
          </w:tcPr>
          <w:p w:rsidR="00605853" w:rsidRDefault="00204124">
            <w:pPr>
              <w:spacing w:line="240" w:lineRule="auto"/>
              <w:jc w:val="center"/>
            </w:pPr>
            <w:r>
              <w:t>404, not an empty result, so the boundary is not an existence oracle</w:t>
            </w:r>
          </w:p>
        </w:tc>
      </w:tr>
      <w:tr w:rsidR="00605853">
        <w:trPr>
          <w:cantSplit/>
        </w:trPr>
        <w:tc>
          <w:tcPr>
            <w:tcW w:w="2835" w:type="dxa"/>
            <w:vAlign w:val="center"/>
          </w:tcPr>
          <w:p w:rsidR="00605853" w:rsidRDefault="00204124">
            <w:pPr>
              <w:spacing w:line="240" w:lineRule="auto"/>
              <w:jc w:val="center"/>
            </w:pPr>
            <w:r>
              <w:t>Login throttling</w:t>
            </w:r>
          </w:p>
        </w:tc>
        <w:tc>
          <w:tcPr>
            <w:tcW w:w="2835" w:type="dxa"/>
            <w:vAlign w:val="center"/>
          </w:tcPr>
          <w:p w:rsidR="00605853" w:rsidRDefault="00204124">
            <w:pPr>
              <w:spacing w:line="240" w:lineRule="auto"/>
              <w:jc w:val="center"/>
            </w:pPr>
            <w:r>
              <w:t>Repeated failed logins against one account</w:t>
            </w:r>
          </w:p>
        </w:tc>
        <w:tc>
          <w:tcPr>
            <w:tcW w:w="2835" w:type="dxa"/>
            <w:vAlign w:val="center"/>
          </w:tcPr>
          <w:p w:rsidR="00605853" w:rsidRDefault="00204124">
            <w:pPr>
              <w:spacing w:line="240" w:lineRule="auto"/>
              <w:jc w:val="center"/>
            </w:pPr>
            <w:r>
              <w:t>10 failures returned 401; the 11th returned 429 with Retry-After: 896. Budget is 10 failures per 900 s; the refusal names no account</w:t>
            </w:r>
          </w:p>
        </w:tc>
      </w:tr>
      <w:tr w:rsidR="00605853">
        <w:trPr>
          <w:cantSplit/>
        </w:trPr>
        <w:tc>
          <w:tcPr>
            <w:tcW w:w="2835" w:type="dxa"/>
            <w:vAlign w:val="center"/>
          </w:tcPr>
          <w:p w:rsidR="00605853" w:rsidRDefault="00204124">
            <w:pPr>
              <w:spacing w:line="240" w:lineRule="auto"/>
              <w:jc w:val="center"/>
            </w:pPr>
            <w:r>
              <w:t>Share-token expiry</w:t>
            </w:r>
          </w:p>
        </w:tc>
        <w:tc>
          <w:tcPr>
            <w:tcW w:w="2835" w:type="dxa"/>
            <w:vAlign w:val="center"/>
          </w:tcPr>
          <w:p w:rsidR="00605853" w:rsidRDefault="00204124">
            <w:pPr>
              <w:spacing w:line="240" w:lineRule="auto"/>
              <w:jc w:val="center"/>
            </w:pPr>
            <w:r>
              <w:t>Token lifetime inspected against its creation time</w:t>
            </w:r>
          </w:p>
        </w:tc>
        <w:tc>
          <w:tcPr>
            <w:tcW w:w="2835" w:type="dxa"/>
            <w:vAlign w:val="center"/>
          </w:tcPr>
          <w:p w:rsidR="00605853" w:rsidRDefault="00204124">
            <w:pPr>
              <w:spacing w:line="240" w:lineRule="auto"/>
              <w:jc w:val="center"/>
            </w:pPr>
            <w:r>
              <w:t>90-day expiry, verified to the second</w:t>
            </w:r>
          </w:p>
        </w:tc>
      </w:tr>
      <w:tr w:rsidR="00605853">
        <w:trPr>
          <w:cantSplit/>
        </w:trPr>
        <w:tc>
          <w:tcPr>
            <w:tcW w:w="2835" w:type="dxa"/>
            <w:vAlign w:val="center"/>
          </w:tcPr>
          <w:p w:rsidR="00605853" w:rsidRDefault="00204124">
            <w:pPr>
              <w:spacing w:line="240" w:lineRule="auto"/>
              <w:jc w:val="center"/>
            </w:pPr>
            <w:r>
              <w:t>Share-token storage</w:t>
            </w:r>
          </w:p>
        </w:tc>
        <w:tc>
          <w:tcPr>
            <w:tcW w:w="2835" w:type="dxa"/>
            <w:vAlign w:val="center"/>
          </w:tcPr>
          <w:p w:rsidR="00605853" w:rsidRDefault="00204124">
            <w:pPr>
              <w:spacing w:line="240" w:lineRule="auto"/>
              <w:jc w:val="center"/>
            </w:pPr>
            <w:r>
              <w:t>Database inspection</w:t>
            </w:r>
          </w:p>
        </w:tc>
        <w:tc>
          <w:tcPr>
            <w:tcW w:w="2835" w:type="dxa"/>
            <w:vAlign w:val="center"/>
          </w:tcPr>
          <w:p w:rsidR="00605853" w:rsidRDefault="00204124">
            <w:pPr>
              <w:spacing w:line="240" w:lineRule="auto"/>
              <w:jc w:val="center"/>
            </w:pPr>
            <w:r>
              <w:t>Stored only as a hash; no clear-text token at rest</w:t>
            </w:r>
          </w:p>
        </w:tc>
      </w:tr>
      <w:tr w:rsidR="00605853">
        <w:trPr>
          <w:cantSplit/>
        </w:trPr>
        <w:tc>
          <w:tcPr>
            <w:tcW w:w="2835" w:type="dxa"/>
            <w:vAlign w:val="center"/>
          </w:tcPr>
          <w:p w:rsidR="00605853" w:rsidRDefault="00204124">
            <w:pPr>
              <w:spacing w:line="240" w:lineRule="auto"/>
              <w:jc w:val="center"/>
            </w:pPr>
            <w:r>
              <w:t>Share-token misuse</w:t>
            </w:r>
          </w:p>
        </w:tc>
        <w:tc>
          <w:tcPr>
            <w:tcW w:w="2835" w:type="dxa"/>
            <w:vAlign w:val="center"/>
          </w:tcPr>
          <w:p w:rsidR="00605853" w:rsidRDefault="00204124">
            <w:pPr>
              <w:spacing w:line="240" w:lineRule="auto"/>
              <w:jc w:val="center"/>
            </w:pPr>
            <w:r>
              <w:t>Token presented as an Authorization bearer credential</w:t>
            </w:r>
          </w:p>
        </w:tc>
        <w:tc>
          <w:tcPr>
            <w:tcW w:w="2835" w:type="dxa"/>
            <w:vAlign w:val="center"/>
          </w:tcPr>
          <w:p w:rsidR="00605853" w:rsidRDefault="00204124">
            <w:pPr>
              <w:spacing w:line="240" w:lineRule="auto"/>
              <w:jc w:val="center"/>
            </w:pPr>
            <w:r>
              <w:t>401 — the token is accepted only as a path credential</w:t>
            </w:r>
          </w:p>
        </w:tc>
      </w:tr>
      <w:tr w:rsidR="00605853">
        <w:trPr>
          <w:cantSplit/>
        </w:trPr>
        <w:tc>
          <w:tcPr>
            <w:tcW w:w="2835" w:type="dxa"/>
            <w:vAlign w:val="center"/>
          </w:tcPr>
          <w:p w:rsidR="00605853" w:rsidRDefault="00204124">
            <w:pPr>
              <w:spacing w:line="240" w:lineRule="auto"/>
              <w:jc w:val="center"/>
            </w:pPr>
            <w:r>
              <w:t>Share-token revocation</w:t>
            </w:r>
          </w:p>
        </w:tc>
        <w:tc>
          <w:tcPr>
            <w:tcW w:w="2835" w:type="dxa"/>
            <w:vAlign w:val="center"/>
          </w:tcPr>
          <w:p w:rsidR="00605853" w:rsidRDefault="00204124">
            <w:pPr>
              <w:spacing w:line="240" w:lineRule="auto"/>
              <w:jc w:val="center"/>
            </w:pPr>
            <w:r>
              <w:t>Revoked, unknown and expired tokens each requested</w:t>
            </w:r>
          </w:p>
        </w:tc>
        <w:tc>
          <w:tcPr>
            <w:tcW w:w="2835" w:type="dxa"/>
            <w:vAlign w:val="center"/>
          </w:tcPr>
          <w:p w:rsidR="00605853" w:rsidRDefault="00204124">
            <w:pPr>
              <w:spacing w:line="240" w:lineRule="auto"/>
              <w:jc w:val="center"/>
            </w:pPr>
            <w:r>
              <w:t>All three returned an identical 404</w:t>
            </w:r>
          </w:p>
        </w:tc>
      </w:tr>
      <w:tr w:rsidR="00605853">
        <w:trPr>
          <w:cantSplit/>
        </w:trPr>
        <w:tc>
          <w:tcPr>
            <w:tcW w:w="2835" w:type="dxa"/>
            <w:vAlign w:val="center"/>
          </w:tcPr>
          <w:p w:rsidR="00605853" w:rsidRDefault="00204124">
            <w:pPr>
              <w:spacing w:line="240" w:lineRule="auto"/>
              <w:jc w:val="center"/>
            </w:pPr>
            <w:r>
              <w:t>Unauthenticated report</w:t>
            </w:r>
          </w:p>
        </w:tc>
        <w:tc>
          <w:tcPr>
            <w:tcW w:w="2835" w:type="dxa"/>
            <w:vAlign w:val="center"/>
          </w:tcPr>
          <w:p w:rsidR="00605853" w:rsidRDefault="00204124">
            <w:pPr>
              <w:spacing w:line="240" w:lineRule="auto"/>
              <w:jc w:val="center"/>
            </w:pPr>
            <w:r>
              <w:t>Public investor report fetched with a live token</w:t>
            </w:r>
          </w:p>
        </w:tc>
        <w:tc>
          <w:tcPr>
            <w:tcW w:w="2835" w:type="dxa"/>
            <w:vAlign w:val="center"/>
          </w:tcPr>
          <w:p w:rsidR="00605853" w:rsidRDefault="00204124">
            <w:pPr>
              <w:spacing w:line="240" w:lineRule="auto"/>
              <w:jc w:val="center"/>
            </w:pPr>
            <w:r>
              <w:t>200, returning the netted figures</w:t>
            </w:r>
          </w:p>
        </w:tc>
      </w:tr>
      <w:tr w:rsidR="00605853">
        <w:trPr>
          <w:cantSplit/>
        </w:trPr>
        <w:tc>
          <w:tcPr>
            <w:tcW w:w="2835" w:type="dxa"/>
            <w:vAlign w:val="center"/>
          </w:tcPr>
          <w:p w:rsidR="00605853" w:rsidRDefault="00204124">
            <w:pPr>
              <w:spacing w:line="240" w:lineRule="auto"/>
              <w:jc w:val="center"/>
            </w:pPr>
            <w:r>
              <w:t>Credential hygiene</w:t>
            </w:r>
          </w:p>
        </w:tc>
        <w:tc>
          <w:tcPr>
            <w:tcW w:w="2835" w:type="dxa"/>
            <w:vAlign w:val="center"/>
          </w:tcPr>
          <w:p w:rsidR="00605853" w:rsidRDefault="00204124">
            <w:pPr>
              <w:spacing w:line="240" w:lineRule="auto"/>
              <w:jc w:val="center"/>
            </w:pPr>
            <w:r>
              <w:t>Raw token searched for across all three request logs</w:t>
            </w:r>
          </w:p>
        </w:tc>
        <w:tc>
          <w:tcPr>
            <w:tcW w:w="2835" w:type="dxa"/>
            <w:vAlign w:val="center"/>
          </w:tcPr>
          <w:p w:rsidR="00605853" w:rsidRDefault="00204124">
            <w:pPr>
              <w:spacing w:line="240" w:lineRule="auto"/>
              <w:jc w:val="center"/>
            </w:pPr>
            <w:r>
              <w:t>Absent from every log; replaced by a stable 12-hex non-reversible fingerprint that still correlates requests</w:t>
            </w:r>
          </w:p>
        </w:tc>
      </w:tr>
      <w:tr w:rsidR="00605853">
        <w:trPr>
          <w:cantSplit/>
        </w:trPr>
        <w:tc>
          <w:tcPr>
            <w:tcW w:w="2835" w:type="dxa"/>
            <w:vAlign w:val="center"/>
          </w:tcPr>
          <w:p w:rsidR="00605853" w:rsidRDefault="00204124">
            <w:pPr>
              <w:spacing w:line="240" w:lineRule="auto"/>
              <w:jc w:val="center"/>
            </w:pPr>
            <w:r>
              <w:lastRenderedPageBreak/>
              <w:t>Monetary input bounds</w:t>
            </w:r>
          </w:p>
        </w:tc>
        <w:tc>
          <w:tcPr>
            <w:tcW w:w="2835" w:type="dxa"/>
            <w:vAlign w:val="center"/>
          </w:tcPr>
          <w:p w:rsidR="00605853" w:rsidRDefault="00204124">
            <w:pPr>
              <w:spacing w:line="240" w:lineRule="auto"/>
              <w:jc w:val="center"/>
            </w:pPr>
            <w:r>
              <w:t xml:space="preserve">Amounts of −1,000,000, 2,000,000,000, Infinity and </w:t>
            </w:r>
            <w:proofErr w:type="spellStart"/>
            <w:r>
              <w:t>NaN</w:t>
            </w:r>
            <w:proofErr w:type="spellEnd"/>
            <w:r>
              <w:t xml:space="preserve"> submitted</w:t>
            </w:r>
          </w:p>
        </w:tc>
        <w:tc>
          <w:tcPr>
            <w:tcW w:w="2835" w:type="dxa"/>
            <w:vAlign w:val="center"/>
          </w:tcPr>
          <w:p w:rsidR="00605853" w:rsidRDefault="00204124">
            <w:pPr>
              <w:spacing w:line="240" w:lineRule="auto"/>
              <w:jc w:val="center"/>
            </w:pPr>
            <w:r>
              <w:t>422 on each; a valid amount returned 201</w:t>
            </w:r>
          </w:p>
        </w:tc>
      </w:tr>
      <w:tr w:rsidR="00605853">
        <w:trPr>
          <w:cantSplit/>
        </w:trPr>
        <w:tc>
          <w:tcPr>
            <w:tcW w:w="2835" w:type="dxa"/>
            <w:vAlign w:val="center"/>
          </w:tcPr>
          <w:p w:rsidR="00605853" w:rsidRDefault="00204124">
            <w:pPr>
              <w:spacing w:line="240" w:lineRule="auto"/>
              <w:jc w:val="center"/>
            </w:pPr>
            <w:r>
              <w:t>Equipment correction</w:t>
            </w:r>
          </w:p>
        </w:tc>
        <w:tc>
          <w:tcPr>
            <w:tcW w:w="2835" w:type="dxa"/>
            <w:vAlign w:val="center"/>
          </w:tcPr>
          <w:p w:rsidR="00605853" w:rsidRDefault="00204124">
            <w:pPr>
              <w:spacing w:line="240" w:lineRule="auto"/>
              <w:jc w:val="center"/>
            </w:pPr>
            <w:r>
              <w:t>PATCH on an equipment record, and a no-op PATCH</w:t>
            </w:r>
          </w:p>
        </w:tc>
        <w:tc>
          <w:tcPr>
            <w:tcW w:w="2835" w:type="dxa"/>
            <w:vAlign w:val="center"/>
          </w:tcPr>
          <w:p w:rsidR="00605853" w:rsidRDefault="00204124">
            <w:pPr>
              <w:spacing w:line="240" w:lineRule="auto"/>
              <w:jc w:val="center"/>
            </w:pPr>
            <w:r>
              <w:t>200 with a modification time stamped; the no-op left the modification time unchanged, so a non-correction is not recorded. An out-of-range depreciation rate returned 422</w:t>
            </w:r>
          </w:p>
        </w:tc>
      </w:tr>
      <w:tr w:rsidR="00605853">
        <w:trPr>
          <w:cantSplit/>
        </w:trPr>
        <w:tc>
          <w:tcPr>
            <w:tcW w:w="2835" w:type="dxa"/>
            <w:vAlign w:val="center"/>
          </w:tcPr>
          <w:p w:rsidR="00605853" w:rsidRDefault="00204124">
            <w:pPr>
              <w:spacing w:line="240" w:lineRule="auto"/>
              <w:jc w:val="center"/>
            </w:pPr>
            <w:r>
              <w:t>Ledger immutability</w:t>
            </w:r>
          </w:p>
        </w:tc>
        <w:tc>
          <w:tcPr>
            <w:tcW w:w="2835" w:type="dxa"/>
            <w:vAlign w:val="center"/>
          </w:tcPr>
          <w:p w:rsidR="00605853" w:rsidRDefault="00204124">
            <w:pPr>
              <w:spacing w:line="240" w:lineRule="auto"/>
              <w:jc w:val="center"/>
            </w:pPr>
            <w:r>
              <w:t>DELETE on a posted operational log</w:t>
            </w:r>
          </w:p>
        </w:tc>
        <w:tc>
          <w:tcPr>
            <w:tcW w:w="2835" w:type="dxa"/>
            <w:vAlign w:val="center"/>
          </w:tcPr>
          <w:p w:rsidR="00605853" w:rsidRDefault="00204124">
            <w:pPr>
              <w:spacing w:line="240" w:lineRule="auto"/>
              <w:jc w:val="center"/>
            </w:pPr>
            <w:r>
              <w:t>405 — deletion is refused outright</w:t>
            </w:r>
          </w:p>
        </w:tc>
      </w:tr>
    </w:tbl>
    <w:p w:rsidR="009C29EC" w:rsidRDefault="008A0666">
      <w:pPr>
        <w:pStyle w:val="TableCaption"/>
      </w:pPr>
      <w:r>
        <w:rPr>
          <w:szCs w:val="24"/>
        </w:rPr>
        <w:t>Table B.2: Deployment, migration and recovery verification</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05853">
        <w:trPr>
          <w:cantSplit/>
          <w:tblHeader/>
        </w:trPr>
        <w:tc>
          <w:tcPr>
            <w:tcW w:w="4252" w:type="dxa"/>
            <w:tcBorders>
              <w:bottom w:val="single" w:sz="8" w:space="0" w:color="auto"/>
            </w:tcBorders>
            <w:vAlign w:val="center"/>
          </w:tcPr>
          <w:p w:rsidR="00605853" w:rsidRDefault="00204124">
            <w:pPr>
              <w:spacing w:line="240" w:lineRule="auto"/>
              <w:jc w:val="center"/>
            </w:pPr>
            <w:r>
              <w:rPr>
                <w:b/>
              </w:rPr>
              <w:t>Check</w:t>
            </w:r>
          </w:p>
        </w:tc>
        <w:tc>
          <w:tcPr>
            <w:tcW w:w="4252"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4252" w:type="dxa"/>
            <w:vAlign w:val="center"/>
          </w:tcPr>
          <w:p w:rsidR="00605853" w:rsidRDefault="00204124">
            <w:pPr>
              <w:spacing w:line="240" w:lineRule="auto"/>
              <w:jc w:val="center"/>
            </w:pPr>
            <w:r>
              <w:t>Production composition</w:t>
            </w:r>
          </w:p>
        </w:tc>
        <w:tc>
          <w:tcPr>
            <w:tcW w:w="4252" w:type="dxa"/>
            <w:vAlign w:val="center"/>
          </w:tcPr>
          <w:p w:rsidR="00605853" w:rsidRDefault="00204124">
            <w:pPr>
              <w:spacing w:line="240" w:lineRule="auto"/>
              <w:jc w:val="center"/>
            </w:pPr>
            <w:r>
              <w:t>3 services started and reported healthy</w:t>
            </w:r>
          </w:p>
        </w:tc>
      </w:tr>
      <w:tr w:rsidR="00605853">
        <w:trPr>
          <w:cantSplit/>
        </w:trPr>
        <w:tc>
          <w:tcPr>
            <w:tcW w:w="4252" w:type="dxa"/>
            <w:vAlign w:val="center"/>
          </w:tcPr>
          <w:p w:rsidR="00605853" w:rsidRDefault="00204124">
            <w:pPr>
              <w:spacing w:line="240" w:lineRule="auto"/>
              <w:jc w:val="center"/>
            </w:pPr>
            <w:r>
              <w:t>Live probes</w:t>
            </w:r>
          </w:p>
        </w:tc>
        <w:tc>
          <w:tcPr>
            <w:tcW w:w="4252" w:type="dxa"/>
            <w:vAlign w:val="center"/>
          </w:tcPr>
          <w:p w:rsidR="00605853" w:rsidRDefault="00204124">
            <w:pPr>
              <w:spacing w:line="240" w:lineRule="auto"/>
              <w:jc w:val="center"/>
            </w:pPr>
            <w:r>
              <w:t>7 of 7 passed</w:t>
            </w:r>
          </w:p>
        </w:tc>
      </w:tr>
      <w:tr w:rsidR="00605853">
        <w:trPr>
          <w:cantSplit/>
        </w:trPr>
        <w:tc>
          <w:tcPr>
            <w:tcW w:w="4252" w:type="dxa"/>
            <w:vAlign w:val="center"/>
          </w:tcPr>
          <w:p w:rsidR="00605853" w:rsidRDefault="00204124">
            <w:pPr>
              <w:spacing w:line="240" w:lineRule="auto"/>
              <w:jc w:val="center"/>
            </w:pPr>
            <w:r>
              <w:t>Container privilege</w:t>
            </w:r>
          </w:p>
        </w:tc>
        <w:tc>
          <w:tcPr>
            <w:tcW w:w="4252" w:type="dxa"/>
            <w:vAlign w:val="center"/>
          </w:tcPr>
          <w:p w:rsidR="00605853" w:rsidRDefault="00204124">
            <w:pPr>
              <w:spacing w:line="240" w:lineRule="auto"/>
              <w:jc w:val="center"/>
            </w:pPr>
            <w:r>
              <w:t xml:space="preserve">Both application containers run non-root (backend </w:t>
            </w:r>
            <w:proofErr w:type="spellStart"/>
            <w:r>
              <w:t>uid</w:t>
            </w:r>
            <w:proofErr w:type="spellEnd"/>
            <w:r>
              <w:t xml:space="preserve"> 1000, frontend </w:t>
            </w:r>
            <w:proofErr w:type="spellStart"/>
            <w:r>
              <w:t>uid</w:t>
            </w:r>
            <w:proofErr w:type="spellEnd"/>
            <w:r>
              <w:t xml:space="preserve"> 101)</w:t>
            </w:r>
          </w:p>
        </w:tc>
      </w:tr>
      <w:tr w:rsidR="00605853">
        <w:trPr>
          <w:cantSplit/>
        </w:trPr>
        <w:tc>
          <w:tcPr>
            <w:tcW w:w="4252" w:type="dxa"/>
            <w:vAlign w:val="center"/>
          </w:tcPr>
          <w:p w:rsidR="00605853" w:rsidRDefault="00204124">
            <w:pPr>
              <w:spacing w:line="240" w:lineRule="auto"/>
              <w:jc w:val="center"/>
            </w:pPr>
            <w:r>
              <w:t>Database exposure</w:t>
            </w:r>
          </w:p>
        </w:tc>
        <w:tc>
          <w:tcPr>
            <w:tcW w:w="4252" w:type="dxa"/>
            <w:vAlign w:val="center"/>
          </w:tcPr>
          <w:p w:rsidR="00605853" w:rsidRDefault="00204124">
            <w:pPr>
              <w:spacing w:line="240" w:lineRule="auto"/>
              <w:jc w:val="center"/>
            </w:pPr>
            <w:r>
              <w:t>The database container publishes no host port</w:t>
            </w:r>
          </w:p>
        </w:tc>
      </w:tr>
      <w:tr w:rsidR="00605853">
        <w:trPr>
          <w:cantSplit/>
        </w:trPr>
        <w:tc>
          <w:tcPr>
            <w:tcW w:w="4252" w:type="dxa"/>
            <w:vAlign w:val="center"/>
          </w:tcPr>
          <w:p w:rsidR="00605853" w:rsidRDefault="00204124">
            <w:pPr>
              <w:spacing w:line="240" w:lineRule="auto"/>
              <w:jc w:val="center"/>
            </w:pPr>
            <w:r>
              <w:t>Configuration</w:t>
            </w:r>
          </w:p>
        </w:tc>
        <w:tc>
          <w:tcPr>
            <w:tcW w:w="4252" w:type="dxa"/>
            <w:vAlign w:val="center"/>
          </w:tcPr>
          <w:p w:rsidR="00605853" w:rsidRDefault="00204124">
            <w:pPr>
              <w:spacing w:line="240" w:lineRule="auto"/>
              <w:jc w:val="center"/>
            </w:pPr>
            <w:r>
              <w:t>The production composition renders from .</w:t>
            </w:r>
            <w:proofErr w:type="spellStart"/>
            <w:r>
              <w:t>env.example</w:t>
            </w:r>
            <w:proofErr w:type="spellEnd"/>
            <w:r>
              <w:t xml:space="preserve"> alone; no signing-key literal is committed and no environment file is tracked; the optional TLS edge profile renders</w:t>
            </w:r>
          </w:p>
        </w:tc>
      </w:tr>
      <w:tr w:rsidR="00605853">
        <w:trPr>
          <w:cantSplit/>
        </w:trPr>
        <w:tc>
          <w:tcPr>
            <w:tcW w:w="4252" w:type="dxa"/>
            <w:vAlign w:val="center"/>
          </w:tcPr>
          <w:p w:rsidR="00605853" w:rsidRDefault="00204124">
            <w:pPr>
              <w:spacing w:line="240" w:lineRule="auto"/>
              <w:jc w:val="center"/>
            </w:pPr>
            <w:r>
              <w:t>Migration chain</w:t>
            </w:r>
          </w:p>
        </w:tc>
        <w:tc>
          <w:tcPr>
            <w:tcW w:w="4252" w:type="dxa"/>
            <w:vAlign w:val="center"/>
          </w:tcPr>
          <w:p w:rsidR="00605853" w:rsidRDefault="00204124">
            <w:pPr>
              <w:spacing w:line="240" w:lineRule="auto"/>
              <w:jc w:val="center"/>
            </w:pPr>
            <w:r>
              <w:t>9 revisions, single head b9e5f30c74a1, every revision defining both directions</w:t>
            </w:r>
          </w:p>
        </w:tc>
      </w:tr>
      <w:tr w:rsidR="00605853">
        <w:trPr>
          <w:cantSplit/>
        </w:trPr>
        <w:tc>
          <w:tcPr>
            <w:tcW w:w="4252" w:type="dxa"/>
            <w:vAlign w:val="center"/>
          </w:tcPr>
          <w:p w:rsidR="00605853" w:rsidRDefault="00204124">
            <w:pPr>
              <w:spacing w:line="240" w:lineRule="auto"/>
              <w:jc w:val="center"/>
            </w:pPr>
            <w:r>
              <w:t>Migration against PostgreSQL</w:t>
            </w:r>
          </w:p>
        </w:tc>
        <w:tc>
          <w:tcPr>
            <w:tcW w:w="4252" w:type="dxa"/>
            <w:vAlign w:val="center"/>
          </w:tcPr>
          <w:p w:rsidR="00605853" w:rsidRDefault="00204124">
            <w:pPr>
              <w:spacing w:line="240" w:lineRule="auto"/>
              <w:jc w:val="center"/>
            </w:pPr>
            <w:r>
              <w:t>The migration module, which holds the four locally-skipped tests among its twelve, was executed in full against PostgreSQL 15.18 on 29 August 2026: 12 of 12 passed, including the schema-versus-models drift check and a rollback-and-reapply</w:t>
            </w:r>
          </w:p>
        </w:tc>
      </w:tr>
      <w:tr w:rsidR="00605853">
        <w:trPr>
          <w:cantSplit/>
        </w:trPr>
        <w:tc>
          <w:tcPr>
            <w:tcW w:w="4252" w:type="dxa"/>
            <w:vAlign w:val="center"/>
          </w:tcPr>
          <w:p w:rsidR="00605853" w:rsidRDefault="00204124">
            <w:pPr>
              <w:spacing w:line="240" w:lineRule="auto"/>
              <w:jc w:val="center"/>
            </w:pPr>
            <w:r>
              <w:lastRenderedPageBreak/>
              <w:t>Backup and restore</w:t>
            </w:r>
          </w:p>
        </w:tc>
        <w:tc>
          <w:tcPr>
            <w:tcW w:w="4252" w:type="dxa"/>
            <w:vAlign w:val="center"/>
          </w:tcPr>
          <w:p w:rsidR="00605853" w:rsidRDefault="00204124">
            <w:pPr>
              <w:spacing w:line="240" w:lineRule="auto"/>
              <w:jc w:val="center"/>
            </w:pPr>
            <w:r>
              <w:t xml:space="preserve">Executed with the project’s own scripts: a 28,164-byte dump, 8 tables with data, every row count matched on restore, </w:t>
            </w:r>
            <w:proofErr w:type="spellStart"/>
            <w:r>
              <w:t>alembic_version</w:t>
            </w:r>
            <w:proofErr w:type="spellEnd"/>
            <w:r>
              <w:t xml:space="preserve"> b9e5f30c74a1, 0 unpaired operational logs, the live database untouched</w:t>
            </w:r>
          </w:p>
        </w:tc>
      </w:tr>
      <w:tr w:rsidR="00605853">
        <w:trPr>
          <w:cantSplit/>
        </w:trPr>
        <w:tc>
          <w:tcPr>
            <w:tcW w:w="4252" w:type="dxa"/>
            <w:vAlign w:val="center"/>
          </w:tcPr>
          <w:p w:rsidR="00605853" w:rsidRDefault="00204124">
            <w:pPr>
              <w:spacing w:line="240" w:lineRule="auto"/>
              <w:jc w:val="center"/>
            </w:pPr>
            <w:r>
              <w:t>TLS for a real domain</w:t>
            </w:r>
          </w:p>
        </w:tc>
        <w:tc>
          <w:tcPr>
            <w:tcW w:w="4252" w:type="dxa"/>
            <w:vAlign w:val="center"/>
          </w:tcPr>
          <w:p w:rsidR="00605853" w:rsidRDefault="00204124">
            <w:pPr>
              <w:spacing w:line="240" w:lineRule="auto"/>
              <w:jc w:val="center"/>
            </w:pPr>
            <w:r>
              <w:t>Not performed. Automatic certificate issuance has never run against a real hostname</w:t>
            </w:r>
          </w:p>
        </w:tc>
      </w:tr>
      <w:tr w:rsidR="00605853">
        <w:trPr>
          <w:cantSplit/>
        </w:trPr>
        <w:tc>
          <w:tcPr>
            <w:tcW w:w="4252" w:type="dxa"/>
            <w:vAlign w:val="center"/>
          </w:tcPr>
          <w:p w:rsidR="00605853" w:rsidRDefault="00204124">
            <w:pPr>
              <w:spacing w:line="240" w:lineRule="auto"/>
              <w:jc w:val="center"/>
            </w:pPr>
            <w:r>
              <w:t>Observability</w:t>
            </w:r>
          </w:p>
        </w:tc>
        <w:tc>
          <w:tcPr>
            <w:tcW w:w="4252" w:type="dxa"/>
            <w:vAlign w:val="center"/>
          </w:tcPr>
          <w:p w:rsidR="00605853" w:rsidRDefault="00204124">
            <w:pPr>
              <w:spacing w:line="240" w:lineRule="auto"/>
              <w:jc w:val="center"/>
            </w:pPr>
            <w:r>
              <w:t>None. No metrics, no tracing, no alerting; containers log to standard output only</w:t>
            </w:r>
          </w:p>
        </w:tc>
      </w:tr>
      <w:tr w:rsidR="00605853">
        <w:trPr>
          <w:cantSplit/>
        </w:trPr>
        <w:tc>
          <w:tcPr>
            <w:tcW w:w="4252" w:type="dxa"/>
            <w:vAlign w:val="center"/>
          </w:tcPr>
          <w:p w:rsidR="00605853" w:rsidRDefault="00204124">
            <w:pPr>
              <w:spacing w:line="240" w:lineRule="auto"/>
              <w:jc w:val="center"/>
            </w:pPr>
            <w:r>
              <w:t>Continuous integration</w:t>
            </w:r>
          </w:p>
        </w:tc>
        <w:tc>
          <w:tcPr>
            <w:tcW w:w="4252" w:type="dxa"/>
            <w:vAlign w:val="center"/>
          </w:tcPr>
          <w:p w:rsidR="00605853" w:rsidRDefault="00204124">
            <w:pPr>
              <w:spacing w:line="240" w:lineRule="auto"/>
              <w:jc w:val="center"/>
            </w:pPr>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Component</w:t>
            </w:r>
          </w:p>
        </w:tc>
        <w:tc>
          <w:tcPr>
            <w:tcW w:w="2835" w:type="dxa"/>
            <w:tcBorders>
              <w:bottom w:val="single" w:sz="8" w:space="0" w:color="auto"/>
            </w:tcBorders>
            <w:vAlign w:val="center"/>
          </w:tcPr>
          <w:p w:rsidR="009C29EC" w:rsidRDefault="008A0666">
            <w:pPr>
              <w:pStyle w:val="TableCell"/>
            </w:pPr>
            <w:r>
              <w:rPr>
                <w:b/>
                <w:bCs/>
                <w:sz w:val="22"/>
              </w:rPr>
              <w:t>Measured memory</w:t>
            </w:r>
          </w:p>
        </w:tc>
        <w:tc>
          <w:tcPr>
            <w:tcW w:w="2835" w:type="dxa"/>
            <w:tcBorders>
              <w:bottom w:val="single" w:sz="8" w:space="0" w:color="auto"/>
            </w:tcBorders>
            <w:vAlign w:val="center"/>
          </w:tcPr>
          <w:p w:rsidR="009C29EC" w:rsidRDefault="008A0666">
            <w:pPr>
              <w:pStyle w:val="TableCell"/>
            </w:pPr>
            <w:r>
              <w:rPr>
                <w:b/>
                <w:bCs/>
                <w:sz w:val="22"/>
              </w:rPr>
              <w:t>Note</w:t>
            </w:r>
          </w:p>
        </w:tc>
      </w:tr>
      <w:tr w:rsidR="009C29EC">
        <w:trPr>
          <w:cantSplit/>
          <w:jc w:val="center"/>
        </w:trPr>
        <w:tc>
          <w:tcPr>
            <w:tcW w:w="2834" w:type="dxa"/>
            <w:vAlign w:val="center"/>
          </w:tcPr>
          <w:p w:rsidR="009C29EC" w:rsidRDefault="008A0666">
            <w:pPr>
              <w:pStyle w:val="TableCell"/>
            </w:pPr>
            <w:proofErr w:type="spellStart"/>
            <w:r>
              <w:rPr>
                <w:sz w:val="22"/>
              </w:rPr>
              <w:t>FastAPI</w:t>
            </w:r>
            <w:proofErr w:type="spellEnd"/>
            <w:r>
              <w:rPr>
                <w:sz w:val="22"/>
              </w:rPr>
              <w:t xml:space="preserve"> backend</w:t>
            </w:r>
          </w:p>
        </w:tc>
        <w:tc>
          <w:tcPr>
            <w:tcW w:w="2835" w:type="dxa"/>
            <w:vAlign w:val="center"/>
          </w:tcPr>
          <w:p w:rsidR="009C29EC" w:rsidRDefault="008A0666">
            <w:pPr>
              <w:pStyle w:val="TableCell"/>
            </w:pPr>
            <w:r>
              <w:rPr>
                <w:sz w:val="22"/>
              </w:rPr>
              <w:t xml:space="preserve">145.5–161.5 </w:t>
            </w:r>
            <w:proofErr w:type="spellStart"/>
            <w:r>
              <w:rPr>
                <w:sz w:val="22"/>
              </w:rPr>
              <w:t>MiB</w:t>
            </w:r>
            <w:proofErr w:type="spellEnd"/>
          </w:p>
        </w:tc>
        <w:tc>
          <w:tcPr>
            <w:tcW w:w="2835" w:type="dxa"/>
            <w:vAlign w:val="center"/>
          </w:tcPr>
          <w:p w:rsidR="009C29EC" w:rsidRDefault="008A0666">
            <w:pPr>
              <w:pStyle w:val="TableCell"/>
            </w:pPr>
            <w:r>
              <w:rPr>
                <w:sz w:val="22"/>
              </w:rPr>
              <w:t xml:space="preserve">At rest, ≈0.2% CPU. Includes the Python runtime, the framework, the ORM, </w:t>
            </w:r>
            <w:proofErr w:type="spellStart"/>
            <w:r>
              <w:rPr>
                <w:sz w:val="22"/>
              </w:rPr>
              <w:t>numpy</w:t>
            </w:r>
            <w:proofErr w:type="spellEnd"/>
            <w:r>
              <w:rPr>
                <w:sz w:val="22"/>
              </w:rPr>
              <w:t xml:space="preserve">, </w:t>
            </w:r>
            <w:proofErr w:type="spellStart"/>
            <w:r>
              <w:rPr>
                <w:sz w:val="22"/>
              </w:rPr>
              <w:t>scikit</w:t>
            </w:r>
            <w:proofErr w:type="spellEnd"/>
            <w:r>
              <w:rPr>
                <w:sz w:val="22"/>
              </w:rPr>
              <w:t>-learn and the fitted model</w:t>
            </w:r>
          </w:p>
        </w:tc>
      </w:tr>
      <w:tr w:rsidR="009C29EC">
        <w:trPr>
          <w:cantSplit/>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 xml:space="preserve">33.4–41.3 </w:t>
            </w:r>
            <w:proofErr w:type="spellStart"/>
            <w:r>
              <w:rPr>
                <w:sz w:val="22"/>
              </w:rPr>
              <w:t>MiB</w:t>
            </w:r>
            <w:proofErr w:type="spellEnd"/>
          </w:p>
        </w:tc>
        <w:tc>
          <w:tcPr>
            <w:tcW w:w="2835" w:type="dxa"/>
            <w:vAlign w:val="center"/>
          </w:tcPr>
          <w:p w:rsidR="009C29EC" w:rsidRDefault="008A0666">
            <w:pPr>
              <w:pStyle w:val="TableCell"/>
            </w:pPr>
            <w:r>
              <w:rPr>
                <w:sz w:val="22"/>
              </w:rPr>
              <w:t>At rest, ≈0.0% CPU, against the seeded dataset</w:t>
            </w:r>
          </w:p>
        </w:tc>
      </w:tr>
      <w:tr w:rsidR="009C29EC">
        <w:trPr>
          <w:cantSplit/>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 xml:space="preserve">178.9–202.8 </w:t>
            </w:r>
            <w:proofErr w:type="spellStart"/>
            <w:r>
              <w:rPr>
                <w:b/>
                <w:bCs/>
                <w:sz w:val="22"/>
              </w:rPr>
              <w:t>MiB</w:t>
            </w:r>
            <w:proofErr w:type="spellEnd"/>
          </w:p>
        </w:tc>
        <w:tc>
          <w:tcPr>
            <w:tcW w:w="2835" w:type="dxa"/>
            <w:vAlign w:val="center"/>
          </w:tcPr>
          <w:p w:rsidR="009C29EC" w:rsidRDefault="008A0666">
            <w:pPr>
              <w:pStyle w:val="TableCell"/>
            </w:pPr>
            <w:r>
              <w:rPr>
                <w:sz w:val="22"/>
              </w:rPr>
              <w:t>The two containers exercised during sampling</w:t>
            </w:r>
          </w:p>
        </w:tc>
      </w:tr>
      <w:tr w:rsidR="009C29EC">
        <w:trPr>
          <w:cantSplit/>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Not running during sampling; a Node process serving a built bundle would add on the order of 50–80 </w:t>
            </w:r>
            <w:proofErr w:type="spellStart"/>
            <w:r>
              <w:rPr>
                <w:sz w:val="22"/>
              </w:rPr>
              <w:t>MiB</w:t>
            </w:r>
            <w:proofErr w:type="spellEnd"/>
            <w:r>
              <w:rPr>
                <w:sz w:val="22"/>
              </w:rPr>
              <w:t xml:space="preserve">, a lightweight static server closer to 15 </w:t>
            </w:r>
            <w:proofErr w:type="spellStart"/>
            <w:r>
              <w:rPr>
                <w:sz w:val="22"/>
              </w:rPr>
              <w:t>MiB</w:t>
            </w:r>
            <w:proofErr w:type="spellEnd"/>
          </w:p>
        </w:tc>
      </w:tr>
      <w:tr w:rsidR="009C29EC">
        <w:trPr>
          <w:cantSplit/>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Conventionally 300–400 </w:t>
            </w:r>
            <w:proofErr w:type="spellStart"/>
            <w:r>
              <w:rPr>
                <w:sz w:val="22"/>
              </w:rPr>
              <w:t>MiB</w:t>
            </w:r>
            <w:proofErr w:type="spellEnd"/>
          </w:p>
        </w:tc>
      </w:tr>
    </w:tbl>
    <w:p w:rsidR="009C29EC" w:rsidRDefault="008A0666">
      <w:pPr>
        <w:pStyle w:val="TableCaption"/>
      </w:pPr>
      <w:r>
        <w:rPr>
          <w:szCs w:val="24"/>
        </w:rPr>
        <w:t>Table C.2: Estimated monthly operating cost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Line item</w:t>
            </w:r>
          </w:p>
        </w:tc>
        <w:tc>
          <w:tcPr>
            <w:tcW w:w="2835" w:type="dxa"/>
            <w:tcBorders>
              <w:bottom w:val="single" w:sz="8" w:space="0" w:color="auto"/>
            </w:tcBorders>
            <w:vAlign w:val="center"/>
          </w:tcPr>
          <w:p w:rsidR="009C29EC" w:rsidRDefault="008A0666">
            <w:pPr>
              <w:pStyle w:val="TableCell"/>
            </w:pPr>
            <w:r>
              <w:rPr>
                <w:b/>
                <w:bCs/>
                <w:sz w:val="22"/>
              </w:rPr>
              <w:t>USD / month</w:t>
            </w:r>
          </w:p>
        </w:tc>
        <w:tc>
          <w:tcPr>
            <w:tcW w:w="2835" w:type="dxa"/>
            <w:tcBorders>
              <w:bottom w:val="single" w:sz="8" w:space="0" w:color="auto"/>
            </w:tcBorders>
            <w:vAlign w:val="center"/>
          </w:tcPr>
          <w:p w:rsidR="009C29EC" w:rsidRDefault="008A0666">
            <w:pPr>
              <w:pStyle w:val="TableCell"/>
            </w:pPr>
            <w:r>
              <w:rPr>
                <w:b/>
                <w:bCs/>
                <w:sz w:val="22"/>
              </w:rPr>
              <w:t>NGN / month</w:t>
            </w:r>
          </w:p>
        </w:tc>
      </w:tr>
      <w:tr w:rsidR="009C29EC">
        <w:trPr>
          <w:cantSplit/>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cantSplit/>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cantSplit/>
          <w:jc w:val="center"/>
        </w:trPr>
        <w:tc>
          <w:tcPr>
            <w:tcW w:w="2834" w:type="dxa"/>
            <w:vAlign w:val="center"/>
          </w:tcPr>
          <w:p w:rsidR="009C29EC" w:rsidRDefault="008A0666">
            <w:pPr>
              <w:pStyle w:val="TableCell"/>
            </w:pPr>
            <w:r>
              <w:rPr>
                <w:sz w:val="22"/>
              </w:rPr>
              <w:t>Domain name (</w:t>
            </w:r>
            <w:proofErr w:type="spellStart"/>
            <w:r>
              <w:rPr>
                <w:sz w:val="22"/>
              </w:rPr>
              <w:t>amortised</w:t>
            </w:r>
            <w:proofErr w:type="spellEnd"/>
            <w:r>
              <w:rPr>
                <w:sz w:val="22"/>
              </w:rPr>
              <w:t>)</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cantSplit/>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cantSplit/>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Farms per instance</w:t>
            </w:r>
          </w:p>
        </w:tc>
        <w:tc>
          <w:tcPr>
            <w:tcW w:w="2835" w:type="dxa"/>
            <w:tcBorders>
              <w:bottom w:val="single" w:sz="8" w:space="0" w:color="auto"/>
            </w:tcBorders>
            <w:vAlign w:val="center"/>
          </w:tcPr>
          <w:p w:rsidR="009C29EC" w:rsidRDefault="008A0666">
            <w:pPr>
              <w:pStyle w:val="TableCell"/>
            </w:pPr>
            <w:r>
              <w:rPr>
                <w:b/>
                <w:bCs/>
                <w:sz w:val="22"/>
              </w:rPr>
              <w:t>NGN / farm / month</w:t>
            </w:r>
          </w:p>
        </w:tc>
        <w:tc>
          <w:tcPr>
            <w:tcW w:w="2835" w:type="dxa"/>
            <w:tcBorders>
              <w:bottom w:val="single" w:sz="8" w:space="0" w:color="auto"/>
            </w:tcBorders>
            <w:vAlign w:val="center"/>
          </w:tcPr>
          <w:p w:rsidR="009C29EC" w:rsidRDefault="008A0666">
            <w:pPr>
              <w:pStyle w:val="TableCell"/>
            </w:pPr>
            <w:r>
              <w:rPr>
                <w:b/>
                <w:bCs/>
                <w:sz w:val="22"/>
              </w:rPr>
              <w:t>Assumption</w:t>
            </w:r>
          </w:p>
        </w:tc>
      </w:tr>
      <w:tr w:rsidR="009C29EC">
        <w:trPr>
          <w:cantSplit/>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cantSplit/>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cantSplit/>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cantSplit/>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FF47E8" w:rsidTr="00980340">
        <w:trPr>
          <w:cantSplit/>
          <w:tblHeader/>
        </w:trPr>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 xml:space="preserve">Entity </w:t>
            </w:r>
          </w:p>
        </w:tc>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Role in the model</w:t>
            </w:r>
          </w:p>
        </w:tc>
      </w:tr>
      <w:tr w:rsidR="00FF47E8" w:rsidTr="00980340">
        <w:trPr>
          <w:cantSplit/>
        </w:trPr>
        <w:tc>
          <w:tcPr>
            <w:tcW w:w="4252" w:type="dxa"/>
            <w:tcBorders>
              <w:bottom w:val="nil"/>
            </w:tcBorders>
            <w:vAlign w:val="center"/>
          </w:tcPr>
          <w:p w:rsidR="00FF47E8" w:rsidRDefault="0023781C">
            <w:pPr>
              <w:pStyle w:val="BodyPara"/>
              <w:spacing w:after="120" w:line="240" w:lineRule="auto"/>
              <w:jc w:val="center"/>
            </w:pPr>
            <w:r>
              <w:t>Operational Log</w:t>
            </w:r>
          </w:p>
        </w:tc>
        <w:tc>
          <w:tcPr>
            <w:tcW w:w="4252" w:type="dxa"/>
            <w:tcBorders>
              <w:bottom w:val="nil"/>
            </w:tcBorders>
            <w:vAlign w:val="center"/>
          </w:tcPr>
          <w:p w:rsidR="00FF47E8" w:rsidRDefault="0023781C">
            <w:pPr>
              <w:pStyle w:val="BodyPara"/>
              <w:spacing w:after="120" w:line="240" w:lineRule="auto"/>
              <w:jc w:val="center"/>
            </w:pPr>
            <w:r>
              <w:t>Timestamped physical farm activity; the primary unit of operational entry.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Financial Transaction</w:t>
            </w:r>
          </w:p>
        </w:tc>
        <w:tc>
          <w:tcPr>
            <w:tcW w:w="4252" w:type="dxa"/>
            <w:tcBorders>
              <w:top w:val="nil"/>
              <w:bottom w:val="nil"/>
            </w:tcBorders>
            <w:vAlign w:val="center"/>
          </w:tcPr>
          <w:p w:rsidR="00FF47E8" w:rsidRDefault="0023781C">
            <w:pPr>
              <w:pStyle w:val="BodyPara"/>
              <w:spacing w:after="120" w:line="240" w:lineRule="auto"/>
              <w:jc w:val="center"/>
            </w:pPr>
            <w:r>
              <w:t>Expense or revenue record paired with an Operational Log via a shared Activity Category.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Equipment</w:t>
            </w:r>
          </w:p>
        </w:tc>
        <w:tc>
          <w:tcPr>
            <w:tcW w:w="4252" w:type="dxa"/>
            <w:tcBorders>
              <w:top w:val="nil"/>
              <w:bottom w:val="nil"/>
            </w:tcBorders>
            <w:vAlign w:val="center"/>
          </w:tcPr>
          <w:p w:rsidR="00FF47E8" w:rsidRDefault="0023781C">
            <w:pPr>
              <w:pStyle w:val="BodyPara"/>
              <w:spacing w:after="120" w:line="240" w:lineRule="auto"/>
              <w:jc w:val="center"/>
            </w:pPr>
            <w:r>
              <w:t>Machinery tracked for acquisition cost, depreciation, and maintenance.</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Maintenance Log</w:t>
            </w:r>
          </w:p>
        </w:tc>
        <w:tc>
          <w:tcPr>
            <w:tcW w:w="4252" w:type="dxa"/>
            <w:tcBorders>
              <w:top w:val="nil"/>
              <w:bottom w:val="nil"/>
            </w:tcBorders>
            <w:vAlign w:val="center"/>
          </w:tcPr>
          <w:p w:rsidR="00FF47E8" w:rsidRDefault="00692B9E">
            <w:pPr>
              <w:pStyle w:val="BodyPara"/>
              <w:spacing w:after="120" w:line="240" w:lineRule="auto"/>
              <w:jc w:val="center"/>
            </w:pPr>
            <w:r>
              <w:t>A service or repair event recorded against a specific Equipment item.</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Farm / User</w:t>
            </w:r>
          </w:p>
        </w:tc>
        <w:tc>
          <w:tcPr>
            <w:tcW w:w="4252" w:type="dxa"/>
            <w:tcBorders>
              <w:top w:val="nil"/>
              <w:bottom w:val="nil"/>
            </w:tcBorders>
            <w:vAlign w:val="center"/>
          </w:tcPr>
          <w:p w:rsidR="00FF47E8" w:rsidRDefault="00692B9E">
            <w:pPr>
              <w:pStyle w:val="BodyPara"/>
              <w:spacing w:after="120" w:line="240" w:lineRule="auto"/>
              <w:jc w:val="center"/>
            </w:pPr>
            <w:r>
              <w:t>Ownership boundary; scopes all records to a single enterprise (security design).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Share Token</w:t>
            </w:r>
          </w:p>
        </w:tc>
        <w:tc>
          <w:tcPr>
            <w:tcW w:w="4252" w:type="dxa"/>
            <w:tcBorders>
              <w:top w:val="nil"/>
              <w:bottom w:val="nil"/>
            </w:tcBorders>
            <w:vAlign w:val="center"/>
          </w:tcPr>
          <w:p w:rsidR="00FF47E8" w:rsidRDefault="00692B9E">
            <w:pPr>
              <w:pStyle w:val="BodyPara"/>
              <w:spacing w:after="120" w:line="240" w:lineRule="auto"/>
              <w:jc w:val="center"/>
            </w:pPr>
            <w:r>
              <w:t xml:space="preserve">A revocable, expiring, read-only grant of access to one farm's </w:t>
            </w:r>
            <w:proofErr w:type="spellStart"/>
            <w:r>
              <w:t>standardised</w:t>
            </w:r>
            <w:proofErr w:type="spellEnd"/>
            <w:r>
              <w:t xml:space="preserve"> reports; stored only as a hash, never in clear.</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Reversal link (</w:t>
            </w:r>
            <w:proofErr w:type="spellStart"/>
            <w:r>
              <w:t>reverses_id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A self-reference on Financial Transaction identifying the record a contra entry corrects; the mechanism by which the ledger is corrected without deletion.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Crop attribute</w:t>
            </w:r>
          </w:p>
        </w:tc>
        <w:tc>
          <w:tcPr>
            <w:tcW w:w="4252" w:type="dxa"/>
            <w:tcBorders>
              <w:top w:val="nil"/>
              <w:bottom w:val="nil"/>
            </w:tcBorders>
            <w:vAlign w:val="center"/>
          </w:tcPr>
          <w:p w:rsidR="00FF47E8" w:rsidRDefault="00692B9E">
            <w:pPr>
              <w:pStyle w:val="BodyPara"/>
              <w:spacing w:after="120" w:line="240" w:lineRule="auto"/>
              <w:jc w:val="center"/>
            </w:pPr>
            <w:r>
              <w:t>A free-text crop label carried on the Operational Log and inherited by its paired Financial Transaction; the grouping key for all per-crop decision support.</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Client identifier (</w:t>
            </w:r>
            <w:proofErr w:type="spellStart"/>
            <w:r>
              <w:t>client_id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 xml:space="preserve">A client-generated identifier carried by every queued record, giving the offline </w:t>
            </w:r>
            <w:proofErr w:type="spellStart"/>
            <w:r>
              <w:t>synchronisation</w:t>
            </w:r>
            <w:proofErr w:type="spellEnd"/>
            <w:r>
              <w:t xml:space="preserve"> path its </w:t>
            </w:r>
            <w:proofErr w:type="spellStart"/>
            <w:r>
              <w:t>idempotency</w:t>
            </w:r>
            <w:proofErr w:type="spellEnd"/>
            <w:r>
              <w:t>.</w:t>
            </w:r>
          </w:p>
        </w:tc>
      </w:tr>
      <w:tr w:rsidR="00FF47E8" w:rsidTr="00980340">
        <w:trPr>
          <w:cantSplit/>
        </w:trPr>
        <w:tc>
          <w:tcPr>
            <w:tcW w:w="4252" w:type="dxa"/>
            <w:tcBorders>
              <w:top w:val="nil"/>
              <w:bottom w:val="nil"/>
            </w:tcBorders>
            <w:vAlign w:val="center"/>
          </w:tcPr>
          <w:p w:rsidR="00FF47E8" w:rsidRDefault="00BE0ADA">
            <w:pPr>
              <w:pStyle w:val="BodyPara"/>
              <w:spacing w:after="120" w:line="240" w:lineRule="auto"/>
              <w:jc w:val="center"/>
            </w:pPr>
            <w:r>
              <w:t>Drying run attributes</w:t>
            </w:r>
          </w:p>
        </w:tc>
        <w:tc>
          <w:tcPr>
            <w:tcW w:w="4252" w:type="dxa"/>
            <w:tcBorders>
              <w:top w:val="nil"/>
              <w:bottom w:val="nil"/>
            </w:tcBorders>
            <w:vAlign w:val="center"/>
          </w:tcPr>
          <w:p w:rsidR="00FF47E8" w:rsidRDefault="00BE0ADA">
            <w:pPr>
              <w:pStyle w:val="BodyPara"/>
              <w:spacing w:after="120" w:line="240" w:lineRule="auto"/>
              <w:jc w:val="center"/>
            </w:pPr>
            <w:r>
              <w:t>Mass in and out, initial and final moisture content, drying method, and optional time-and-moisture readings, recorded on an Operational Log of the post-harvest category.</w:t>
            </w:r>
          </w:p>
        </w:tc>
      </w:tr>
      <w:tr w:rsidR="00FF47E8" w:rsidTr="00980340">
        <w:trPr>
          <w:cantSplit/>
        </w:trPr>
        <w:tc>
          <w:tcPr>
            <w:tcW w:w="4252" w:type="dxa"/>
            <w:tcBorders>
              <w:top w:val="nil"/>
            </w:tcBorders>
            <w:vAlign w:val="center"/>
          </w:tcPr>
          <w:p w:rsidR="00FF47E8" w:rsidRDefault="00BE0ADA">
            <w:pPr>
              <w:pStyle w:val="BodyPara"/>
              <w:spacing w:after="120" w:line="240" w:lineRule="auto"/>
              <w:jc w:val="center"/>
            </w:pPr>
            <w:r>
              <w:t>Role and permissions</w:t>
            </w:r>
          </w:p>
        </w:tc>
        <w:tc>
          <w:tcPr>
            <w:tcW w:w="4252" w:type="dxa"/>
            <w:tcBorders>
              <w:top w:val="nil"/>
            </w:tcBorders>
            <w:vAlign w:val="center"/>
          </w:tcPr>
          <w:p w:rsidR="00FF47E8" w:rsidRDefault="00BE0ADA">
            <w:pPr>
              <w:pStyle w:val="BodyPara"/>
              <w:spacing w:after="120" w:line="240" w:lineRule="auto"/>
              <w:jc w:val="center"/>
            </w:pPr>
            <w:r>
              <w:t xml:space="preserve">The </w:t>
            </w:r>
            <w:proofErr w:type="spellStart"/>
            <w:r>
              <w:t>authorisation</w:t>
            </w:r>
            <w:proofErr w:type="spellEnd"/>
            <w:r>
              <w:t xml:space="preserve">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Property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 xml:space="preserve">Pipeline (one-hot encoder + Random Forest </w:t>
            </w:r>
            <w:proofErr w:type="spellStart"/>
            <w:r>
              <w:rPr>
                <w:sz w:val="22"/>
              </w:rPr>
              <w:t>regressor</w:t>
            </w:r>
            <w:proofErr w:type="spellEnd"/>
            <w:r>
              <w:rPr>
                <w:sz w:val="22"/>
              </w:rPr>
              <w:t>)</w:t>
            </w:r>
          </w:p>
        </w:tc>
      </w:tr>
      <w:tr w:rsidR="009C29EC">
        <w:trPr>
          <w:cantSplit/>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cantSplit/>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cantSplit/>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 xml:space="preserve">Rainfall, </w:t>
            </w:r>
            <w:proofErr w:type="spellStart"/>
            <w:r>
              <w:rPr>
                <w:sz w:val="22"/>
              </w:rPr>
              <w:t>fertiliser</w:t>
            </w:r>
            <w:proofErr w:type="spellEnd"/>
            <w:r>
              <w:rPr>
                <w:sz w:val="22"/>
              </w:rPr>
              <w:t xml:space="preserve"> used, soil pH, crop</w:t>
            </w:r>
          </w:p>
        </w:tc>
      </w:tr>
      <w:tr w:rsidR="009C29EC">
        <w:trPr>
          <w:cantSplit/>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cantSplit/>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cantSplit/>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cantSplit/>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cantSplit/>
          <w:jc w:val="center"/>
        </w:trPr>
        <w:tc>
          <w:tcPr>
            <w:tcW w:w="4252" w:type="dxa"/>
            <w:vAlign w:val="center"/>
          </w:tcPr>
          <w:p w:rsidR="009C29EC" w:rsidRDefault="008A0666">
            <w:pPr>
              <w:pStyle w:val="TableCell"/>
            </w:pPr>
            <w:r>
              <w:rPr>
                <w:sz w:val="22"/>
              </w:rPr>
              <w:t xml:space="preserve">Feature </w:t>
            </w:r>
            <w:r w:rsidR="00C332AE">
              <w:rPr>
                <w:sz w:val="22"/>
              </w:rPr>
              <w:t>importance’s</w:t>
            </w:r>
          </w:p>
        </w:tc>
        <w:tc>
          <w:tcPr>
            <w:tcW w:w="4252" w:type="dxa"/>
            <w:vAlign w:val="center"/>
          </w:tcPr>
          <w:p w:rsidR="009C29EC" w:rsidRDefault="008A0666">
            <w:pPr>
              <w:pStyle w:val="TableCell"/>
            </w:pPr>
            <w:r>
              <w:rPr>
                <w:sz w:val="22"/>
              </w:rPr>
              <w:t xml:space="preserve">Crop 0.3445; rainfall 0.2845; soil pH 0.2479; </w:t>
            </w:r>
            <w:proofErr w:type="spellStart"/>
            <w:r>
              <w:rPr>
                <w:sz w:val="22"/>
              </w:rPr>
              <w:t>fertiliser</w:t>
            </w:r>
            <w:proofErr w:type="spellEnd"/>
            <w:r>
              <w:rPr>
                <w:sz w:val="22"/>
              </w:rPr>
              <w:t xml:space="preserve"> 0.1231</w:t>
            </w:r>
          </w:p>
        </w:tc>
      </w:tr>
      <w:tr w:rsidR="009C29EC">
        <w:trPr>
          <w:cantSplit/>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cantSplit/>
          <w:jc w:val="center"/>
        </w:trPr>
        <w:tc>
          <w:tcPr>
            <w:tcW w:w="4252" w:type="dxa"/>
            <w:vAlign w:val="center"/>
          </w:tcPr>
          <w:p w:rsidR="00605853" w:rsidRDefault="00204124">
            <w:pPr>
              <w:spacing w:line="240" w:lineRule="auto"/>
              <w:jc w:val="center"/>
            </w:pPr>
            <w:r>
              <w:t>Root mean square error (RMSE)</w:t>
            </w:r>
          </w:p>
        </w:tc>
        <w:tc>
          <w:tcPr>
            <w:tcW w:w="4252" w:type="dxa"/>
            <w:vAlign w:val="center"/>
          </w:tcPr>
          <w:p w:rsidR="00605853" w:rsidRDefault="00204124">
            <w:pPr>
              <w:spacing w:line="240" w:lineRule="auto"/>
              <w:jc w:val="center"/>
            </w:pPr>
            <w:r>
              <w:t>0.4883 t/ha (0.488334)</w:t>
            </w:r>
          </w:p>
        </w:tc>
      </w:tr>
      <w:tr w:rsidR="00605853">
        <w:trPr>
          <w:cantSplit/>
          <w:jc w:val="center"/>
        </w:trPr>
        <w:tc>
          <w:tcPr>
            <w:tcW w:w="4252" w:type="dxa"/>
            <w:vAlign w:val="center"/>
          </w:tcPr>
          <w:p w:rsidR="00605853" w:rsidRDefault="00204124">
            <w:pPr>
              <w:spacing w:line="240" w:lineRule="auto"/>
              <w:jc w:val="center"/>
            </w:pPr>
            <w:r>
              <w:t>Real farmer records used in training</w:t>
            </w:r>
          </w:p>
        </w:tc>
        <w:tc>
          <w:tcPr>
            <w:tcW w:w="4252" w:type="dxa"/>
            <w:vAlign w:val="center"/>
          </w:tcPr>
          <w:p w:rsidR="00605853" w:rsidRDefault="00204124">
            <w:pPr>
              <w:spacing w:line="240" w:lineRule="auto"/>
              <w:jc w:val="center"/>
            </w:pPr>
            <w:r>
              <w:t>None. Zero.</w:t>
            </w:r>
          </w:p>
        </w:tc>
      </w:tr>
      <w:tr w:rsidR="00605853">
        <w:trPr>
          <w:cantSplit/>
          <w:jc w:val="center"/>
        </w:trPr>
        <w:tc>
          <w:tcPr>
            <w:tcW w:w="4252" w:type="dxa"/>
            <w:vAlign w:val="center"/>
          </w:tcPr>
          <w:p w:rsidR="00605853" w:rsidRDefault="00204124">
            <w:pPr>
              <w:spacing w:line="240" w:lineRule="auto"/>
              <w:jc w:val="center"/>
            </w:pPr>
            <w:r>
              <w:t>Dataset fingerprint</w:t>
            </w:r>
          </w:p>
        </w:tc>
        <w:tc>
          <w:tcPr>
            <w:tcW w:w="4252" w:type="dxa"/>
            <w:vAlign w:val="center"/>
          </w:tcPr>
          <w:p w:rsidR="00605853" w:rsidRDefault="00204124">
            <w:pPr>
              <w:spacing w:line="240" w:lineRule="auto"/>
              <w:jc w:val="center"/>
            </w:pPr>
            <w:r>
              <w:t>sha256 a461b884afc9fafda953ff90cc2f75eb0d8608f2e58ad9d206fc215d7b6ba5bf</w:t>
            </w:r>
          </w:p>
        </w:tc>
      </w:tr>
      <w:tr w:rsidR="00605853">
        <w:trPr>
          <w:cantSplit/>
          <w:jc w:val="center"/>
        </w:trPr>
        <w:tc>
          <w:tcPr>
            <w:tcW w:w="4252" w:type="dxa"/>
            <w:vAlign w:val="center"/>
          </w:tcPr>
          <w:p w:rsidR="00605853" w:rsidRDefault="00204124">
            <w:pPr>
              <w:spacing w:line="240" w:lineRule="auto"/>
              <w:jc w:val="center"/>
            </w:pPr>
            <w:r>
              <w:t>Seeds</w:t>
            </w:r>
          </w:p>
        </w:tc>
        <w:tc>
          <w:tcPr>
            <w:tcW w:w="4252" w:type="dxa"/>
            <w:vAlign w:val="center"/>
          </w:tcPr>
          <w:p w:rsidR="00605853" w:rsidRDefault="00204124">
            <w:pPr>
              <w:spacing w:line="240" w:lineRule="auto"/>
              <w:jc w:val="center"/>
            </w:pPr>
            <w:r>
              <w:t xml:space="preserve">Generation seed 42; split </w:t>
            </w:r>
            <w:proofErr w:type="spellStart"/>
            <w:r>
              <w:t>test_size</w:t>
            </w:r>
            <w:proofErr w:type="spellEnd"/>
            <w:r>
              <w:t xml:space="preserve"> 0.2, </w:t>
            </w:r>
            <w:proofErr w:type="spellStart"/>
            <w:r>
              <w:t>split_random_state</w:t>
            </w:r>
            <w:proofErr w:type="spellEnd"/>
            <w:r>
              <w:t xml:space="preserve"> 42; model </w:t>
            </w:r>
            <w:proofErr w:type="spellStart"/>
            <w:r>
              <w:t>random_state</w:t>
            </w:r>
            <w:proofErr w:type="spellEnd"/>
            <w:r>
              <w:t xml:space="preserve"> 42</w:t>
            </w:r>
          </w:p>
        </w:tc>
      </w:tr>
      <w:tr w:rsidR="00605853">
        <w:trPr>
          <w:cantSplit/>
          <w:jc w:val="center"/>
        </w:trPr>
        <w:tc>
          <w:tcPr>
            <w:tcW w:w="4252" w:type="dxa"/>
            <w:vAlign w:val="center"/>
          </w:tcPr>
          <w:p w:rsidR="00605853" w:rsidRDefault="00204124">
            <w:pPr>
              <w:spacing w:line="240" w:lineRule="auto"/>
              <w:jc w:val="center"/>
            </w:pPr>
            <w:r>
              <w:t>Reproducibility</w:t>
            </w:r>
          </w:p>
        </w:tc>
        <w:tc>
          <w:tcPr>
            <w:tcW w:w="4252" w:type="dxa"/>
            <w:vAlign w:val="center"/>
          </w:tcPr>
          <w:p w:rsidR="00605853" w:rsidRDefault="00204124">
            <w:pPr>
              <w:spacing w:line="240" w:lineRule="auto"/>
              <w:jc w:val="center"/>
            </w:pPr>
            <w:r>
              <w:t>Re-derived by regenerating the dataset and refitting, not read from the sidecar; agreement to six decimal places; 18 reproducibility tests pass; agreement 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cantSplit/>
          <w:tblHeader/>
          <w:jc w:val="center"/>
        </w:trPr>
        <w:tc>
          <w:tcPr>
            <w:tcW w:w="3645" w:type="dxa"/>
            <w:tcBorders>
              <w:bottom w:val="single" w:sz="8" w:space="0" w:color="auto"/>
            </w:tcBorders>
            <w:vAlign w:val="center"/>
          </w:tcPr>
          <w:p w:rsidR="009C29EC" w:rsidRDefault="008A0666">
            <w:pPr>
              <w:pStyle w:val="TableCell"/>
            </w:pPr>
            <w:r>
              <w:rPr>
                <w:b/>
                <w:bCs/>
                <w:sz w:val="22"/>
              </w:rPr>
              <w:t>Quantity</w:t>
            </w:r>
          </w:p>
        </w:tc>
        <w:tc>
          <w:tcPr>
            <w:tcW w:w="4859"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cantSplit/>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cantSplit/>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cantSplit/>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cantSplit/>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cantSplit/>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cantSplit/>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cantSplit/>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cantSplit/>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cantSplit/>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cantSplit/>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cantSplit/>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cantSplit/>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cantSplit/>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cantSplit/>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E23237" w:rsidRDefault="0048675F">
      <w:pPr>
        <w:pStyle w:val="ChapterLabel"/>
      </w:pPr>
      <w:r>
        <w:lastRenderedPageBreak/>
        <w:t>APPENDIX G</w:t>
      </w:r>
    </w:p>
    <w:p w:rsidR="00E23237" w:rsidRDefault="0048675F">
      <w:pPr>
        <w:pStyle w:val="ChapterTitle"/>
      </w:pPr>
      <w:r>
        <w:t>THE TWO IMPLEMENTATION STATES</w:t>
      </w:r>
    </w:p>
    <w:p w:rsidR="00E23237" w:rsidRDefault="0048675F">
      <w:pPr>
        <w:pStyle w:val="TableCaption"/>
      </w:pPr>
      <w:r>
        <w:t>Table G.1: The two implementation states and what was captured at each</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3690"/>
        <w:gridCol w:w="985"/>
        <w:gridCol w:w="2912"/>
      </w:tblGrid>
      <w:tr w:rsidR="00E23237">
        <w:trPr>
          <w:cantSplit/>
          <w:tblHeader/>
        </w:trPr>
        <w:tc>
          <w:tcPr>
            <w:tcW w:w="1106" w:type="dxa"/>
            <w:tcBorders>
              <w:bottom w:val="single" w:sz="8" w:space="0" w:color="auto"/>
            </w:tcBorders>
            <w:vAlign w:val="center"/>
          </w:tcPr>
          <w:p w:rsidR="00E23237" w:rsidRDefault="0048675F">
            <w:pPr>
              <w:pStyle w:val="BodyPara"/>
              <w:spacing w:after="120" w:line="240" w:lineRule="auto"/>
              <w:jc w:val="center"/>
              <w:rPr>
                <w:b/>
              </w:rPr>
            </w:pPr>
            <w:r>
              <w:rPr>
                <w:b/>
              </w:rPr>
              <w:t>Evidence class</w:t>
            </w:r>
          </w:p>
        </w:tc>
        <w:tc>
          <w:tcPr>
            <w:tcW w:w="3598" w:type="dxa"/>
            <w:tcBorders>
              <w:bottom w:val="single" w:sz="8" w:space="0" w:color="auto"/>
            </w:tcBorders>
            <w:vAlign w:val="center"/>
          </w:tcPr>
          <w:p w:rsidR="00E23237" w:rsidRDefault="0048675F">
            <w:pPr>
              <w:pStyle w:val="BodyPara"/>
              <w:spacing w:after="120" w:line="240" w:lineRule="auto"/>
              <w:jc w:val="center"/>
              <w:rPr>
                <w:b/>
              </w:rPr>
            </w:pPr>
            <w:r>
              <w:rPr>
                <w:b/>
              </w:rPr>
              <w:t>Commit</w:t>
            </w:r>
          </w:p>
        </w:tc>
        <w:tc>
          <w:tcPr>
            <w:tcW w:w="960" w:type="dxa"/>
            <w:tcBorders>
              <w:bottom w:val="single" w:sz="8" w:space="0" w:color="auto"/>
            </w:tcBorders>
            <w:vAlign w:val="center"/>
          </w:tcPr>
          <w:p w:rsidR="00E23237" w:rsidRDefault="0048675F">
            <w:pPr>
              <w:pStyle w:val="BodyPara"/>
              <w:spacing w:after="120" w:line="240" w:lineRule="auto"/>
              <w:jc w:val="center"/>
              <w:rPr>
                <w:b/>
              </w:rPr>
            </w:pPr>
            <w:r>
              <w:rPr>
                <w:b/>
              </w:rPr>
              <w:t>Date</w:t>
            </w:r>
          </w:p>
        </w:tc>
        <w:tc>
          <w:tcPr>
            <w:tcW w:w="2840" w:type="dxa"/>
            <w:tcBorders>
              <w:bottom w:val="single" w:sz="8" w:space="0" w:color="auto"/>
            </w:tcBorders>
            <w:vAlign w:val="center"/>
          </w:tcPr>
          <w:p w:rsidR="00E23237" w:rsidRDefault="0048675F">
            <w:pPr>
              <w:pStyle w:val="BodyPara"/>
              <w:spacing w:after="120" w:line="240" w:lineRule="auto"/>
              <w:jc w:val="center"/>
              <w:rPr>
                <w:b/>
              </w:rPr>
            </w:pPr>
            <w:r>
              <w:rPr>
                <w:b/>
              </w:rPr>
              <w:t>Artefact</w:t>
            </w:r>
          </w:p>
        </w:tc>
      </w:tr>
      <w:tr w:rsidR="00E23237">
        <w:trPr>
          <w:cantSplit/>
        </w:trPr>
        <w:tc>
          <w:tcPr>
            <w:tcW w:w="1106" w:type="dxa"/>
            <w:tcBorders>
              <w:bottom w:val="nil"/>
            </w:tcBorders>
            <w:vAlign w:val="center"/>
          </w:tcPr>
          <w:p w:rsidR="00E23237" w:rsidRDefault="0048675F">
            <w:pPr>
              <w:pStyle w:val="BodyPara"/>
              <w:spacing w:after="120" w:line="240" w:lineRule="auto"/>
              <w:jc w:val="center"/>
            </w:pPr>
            <w:r>
              <w:t>Numerical figures</w:t>
            </w:r>
          </w:p>
        </w:tc>
        <w:tc>
          <w:tcPr>
            <w:tcW w:w="3598" w:type="dxa"/>
            <w:tcBorders>
              <w:bottom w:val="nil"/>
            </w:tcBorders>
            <w:vAlign w:val="center"/>
          </w:tcPr>
          <w:p w:rsidR="00E23237" w:rsidRDefault="0048675F">
            <w:pPr>
              <w:pStyle w:val="BodyPara"/>
              <w:spacing w:after="120" w:line="240" w:lineRule="auto"/>
              <w:jc w:val="center"/>
            </w:pPr>
            <w:r>
              <w:t>Captured at 78a68c292205acdcac1a52f977fbea31b6e8495e; re-verified at 598eab0a02533e9692332d92382d42f16fc9e346</w:t>
            </w:r>
          </w:p>
        </w:tc>
        <w:tc>
          <w:tcPr>
            <w:tcW w:w="960" w:type="dxa"/>
            <w:tcBorders>
              <w:bottom w:val="nil"/>
            </w:tcBorders>
            <w:vAlign w:val="center"/>
          </w:tcPr>
          <w:p w:rsidR="00E23237" w:rsidRDefault="0048675F">
            <w:pPr>
              <w:pStyle w:val="BodyPara"/>
              <w:spacing w:after="120" w:line="240" w:lineRule="auto"/>
              <w:jc w:val="center"/>
            </w:pPr>
            <w:r>
              <w:t>29 August 2026; re-verified 7 September 2026</w:t>
            </w:r>
          </w:p>
        </w:tc>
        <w:tc>
          <w:tcPr>
            <w:tcW w:w="2840" w:type="dxa"/>
            <w:tcBorders>
              <w:bottom w:val="nil"/>
            </w:tcBorders>
            <w:vAlign w:val="center"/>
          </w:tcPr>
          <w:p w:rsidR="00E23237" w:rsidRDefault="0048675F">
            <w:pPr>
              <w:pStyle w:val="BodyPara"/>
              <w:spacing w:after="120" w:line="240" w:lineRule="auto"/>
              <w:jc w:val="center"/>
            </w:pPr>
            <w:r>
              <w:t>docs/EVIDENCE_FREEZE_2026-08-29.md §2; docs/EVIDENCE_CAPTURE_2026-09-07.md §3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Database census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§4</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Live probes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§3.7–§3.13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Interface screenshots and test counts</w:t>
            </w:r>
          </w:p>
        </w:tc>
        <w:tc>
          <w:tcPr>
            <w:tcW w:w="3598" w:type="dxa"/>
            <w:tcBorders>
              <w:top w:val="nil"/>
              <w:bottom w:val="nil"/>
            </w:tcBorders>
            <w:vAlign w:val="center"/>
          </w:tcPr>
          <w:p w:rsidR="00E23237" w:rsidRDefault="0048675F">
            <w:pPr>
              <w:pStyle w:val="BodyPara"/>
              <w:spacing w:after="120" w:line="240" w:lineRule="auto"/>
              <w:jc w:val="center"/>
            </w:pPr>
            <w:r>
              <w:t>598eab0a02533e9692332d92382d42f16fc9e346</w:t>
            </w:r>
          </w:p>
        </w:tc>
        <w:tc>
          <w:tcPr>
            <w:tcW w:w="960" w:type="dxa"/>
            <w:tcBorders>
              <w:top w:val="nil"/>
              <w:bottom w:val="nil"/>
            </w:tcBorders>
            <w:vAlign w:val="center"/>
          </w:tcPr>
          <w:p w:rsidR="00E23237" w:rsidRDefault="0048675F">
            <w:pPr>
              <w:pStyle w:val="BodyPara"/>
              <w:spacing w:after="120" w:line="240" w:lineRule="auto"/>
              <w:jc w:val="center"/>
            </w:pPr>
            <w:r>
              <w:t>7 September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docs/EVIDENCE_FREEZE_2026-09-07.md §2, §3; Screenshots/fig_4_1.png–fig_4_11.png, fig_x_filter.png, fig_x_pnl.png</w:t>
            </w:r>
          </w:p>
        </w:tc>
      </w:tr>
      <w:tr w:rsidR="00E23237">
        <w:trPr>
          <w:cantSplit/>
        </w:trPr>
        <w:tc>
          <w:tcPr>
            <w:tcW w:w="1106" w:type="dxa"/>
            <w:tcBorders>
              <w:top w:val="nil"/>
            </w:tcBorders>
            <w:vAlign w:val="center"/>
          </w:tcPr>
          <w:p w:rsidR="00E23237" w:rsidRDefault="0048675F">
            <w:pPr>
              <w:pStyle w:val="BodyPara"/>
              <w:spacing w:after="120" w:line="240" w:lineRule="auto"/>
              <w:jc w:val="center"/>
            </w:pPr>
            <w:r>
              <w:t>Performance figures</w:t>
            </w:r>
          </w:p>
        </w:tc>
        <w:tc>
          <w:tcPr>
            <w:tcW w:w="3598" w:type="dxa"/>
            <w:tcBorders>
              <w:top w:val="nil"/>
            </w:tcBorders>
            <w:vAlign w:val="center"/>
          </w:tcPr>
          <w:p w:rsidR="00E23237" w:rsidRDefault="0048675F">
            <w:pPr>
              <w:pStyle w:val="BodyPara"/>
              <w:spacing w:after="120" w:line="240" w:lineRule="auto"/>
              <w:jc w:val="center"/>
            </w:pPr>
            <w:r>
              <w:t>78a68c292205acdcac1a52f977fbea31b6e8495e — not re-measured</w:t>
            </w:r>
          </w:p>
        </w:tc>
        <w:tc>
          <w:tcPr>
            <w:tcW w:w="960" w:type="dxa"/>
            <w:tcBorders>
              <w:top w:val="nil"/>
            </w:tcBorders>
            <w:vAlign w:val="center"/>
          </w:tcPr>
          <w:p w:rsidR="00E23237" w:rsidRDefault="0048675F">
            <w:pPr>
              <w:pStyle w:val="BodyPara"/>
              <w:spacing w:after="120" w:line="240" w:lineRule="auto"/>
              <w:jc w:val="center"/>
            </w:pPr>
            <w:r>
              <w:t>29 August 2026</w:t>
            </w:r>
          </w:p>
        </w:tc>
        <w:tc>
          <w:tcPr>
            <w:tcW w:w="2840" w:type="dxa"/>
            <w:tcBorders>
              <w:top w:val="nil"/>
            </w:tcBorders>
            <w:vAlign w:val="center"/>
          </w:tcPr>
          <w:p w:rsidR="00E23237" w:rsidRDefault="0048675F">
            <w:pPr>
              <w:pStyle w:val="BodyPara"/>
              <w:spacing w:after="120" w:line="240" w:lineRule="auto"/>
              <w:jc w:val="center"/>
            </w:pPr>
            <w:r>
              <w:t>docs/perf/2026-08-29/README.md, with lh-4g-run1–5 and lh-slow3g-run1–5 .</w:t>
            </w:r>
            <w:proofErr w:type="spellStart"/>
            <w:r>
              <w:t>report.json</w:t>
            </w:r>
            <w:proofErr w:type="spellEnd"/>
            <w:r>
              <w:t>/.html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7B30" w:rsidRDefault="00477B30">
      <w:pPr>
        <w:spacing w:after="0" w:line="240" w:lineRule="auto"/>
      </w:pPr>
      <w:r>
        <w:separator/>
      </w:r>
    </w:p>
  </w:endnote>
  <w:endnote w:type="continuationSeparator" w:id="0">
    <w:p w:rsidR="00477B30" w:rsidRDefault="0047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roman </w:instrText>
    </w:r>
    <w:r>
      <w:rPr>
        <w:szCs w:val="24"/>
      </w:rPr>
      <w:fldChar w:fldCharType="separate"/>
    </w:r>
    <w:r w:rsidR="00B11A38">
      <w:rPr>
        <w:noProof/>
        <w:szCs w:val="24"/>
      </w:rPr>
      <w:t>xvii</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ARABIC </w:instrText>
    </w:r>
    <w:r>
      <w:rPr>
        <w:szCs w:val="24"/>
      </w:rPr>
      <w:fldChar w:fldCharType="separate"/>
    </w:r>
    <w:r w:rsidR="00B11A38">
      <w:rPr>
        <w:noProof/>
        <w:szCs w:val="24"/>
      </w:rPr>
      <w:t>107</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7B30" w:rsidRDefault="00477B30">
      <w:pPr>
        <w:spacing w:after="0" w:line="240" w:lineRule="auto"/>
      </w:pPr>
      <w:r>
        <w:separator/>
      </w:r>
    </w:p>
  </w:footnote>
  <w:footnote w:type="continuationSeparator" w:id="0">
    <w:p w:rsidR="00477B30" w:rsidRDefault="00477B3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745B4"/>
    <w:rsid w:val="0029639D"/>
    <w:rsid w:val="002C4373"/>
    <w:rsid w:val="003076DF"/>
    <w:rsid w:val="00326F90"/>
    <w:rsid w:val="00376534"/>
    <w:rsid w:val="003A60A6"/>
    <w:rsid w:val="003F1A8A"/>
    <w:rsid w:val="003F7E0F"/>
    <w:rsid w:val="00415103"/>
    <w:rsid w:val="00416C8F"/>
    <w:rsid w:val="00477B30"/>
    <w:rsid w:val="0048675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B7BDC"/>
    <w:rsid w:val="008D4FFA"/>
    <w:rsid w:val="008F7550"/>
    <w:rsid w:val="00961D28"/>
    <w:rsid w:val="00980340"/>
    <w:rsid w:val="00994253"/>
    <w:rsid w:val="009C29EC"/>
    <w:rsid w:val="009E5C98"/>
    <w:rsid w:val="00A757D4"/>
    <w:rsid w:val="00A9561D"/>
    <w:rsid w:val="00A97509"/>
    <w:rsid w:val="00AA1D8D"/>
    <w:rsid w:val="00AF0124"/>
    <w:rsid w:val="00AF0878"/>
    <w:rsid w:val="00B11A38"/>
    <w:rsid w:val="00B222E3"/>
    <w:rsid w:val="00B47730"/>
    <w:rsid w:val="00B51104"/>
    <w:rsid w:val="00B76A4D"/>
    <w:rsid w:val="00BA1859"/>
    <w:rsid w:val="00BE0ADA"/>
    <w:rsid w:val="00C07D64"/>
    <w:rsid w:val="00C332AE"/>
    <w:rsid w:val="00C97671"/>
    <w:rsid w:val="00CB0664"/>
    <w:rsid w:val="00CC69F0"/>
    <w:rsid w:val="00D5112B"/>
    <w:rsid w:val="00D760F9"/>
    <w:rsid w:val="00D83B5F"/>
    <w:rsid w:val="00D97F0C"/>
    <w:rsid w:val="00D97F13"/>
    <w:rsid w:val="00DC4A65"/>
    <w:rsid w:val="00E073A6"/>
    <w:rsid w:val="00E2104B"/>
    <w:rsid w:val="00E23237"/>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BA0091-949A-4DC6-B7FD-90463B9F3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134</Pages>
  <Words>30756</Words>
  <Characters>175314</Characters>
  <Application>Microsoft Office Word</Application>
  <DocSecurity>0</DocSecurity>
  <Lines>1460</Lines>
  <Paragraphs>411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205659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63</cp:revision>
  <dcterms:created xsi:type="dcterms:W3CDTF">2013-12-23T23:15:00Z</dcterms:created>
  <dcterms:modified xsi:type="dcterms:W3CDTF">2026-09-10T14:01:00Z</dcterms:modified>
  <cp:category/>
</cp:coreProperties>
</file>