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the submitted commit returned 426 collected backend cases — 422 passed, 4 skipped, none failed — at 96% statement coverage over 1,601 statements, with 148 frontend tests across 13 files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 at the baseline commit</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t>The reporting baseline. The evidence in this chapter is drawn from two implementation states, and each class of evidence is attributed to the state at which it was produced. The numerical figures, the database census and the live probes were captured on 29 August 2026 and re-verified against the running system on 7 September 2026, returning identical values on every figure.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from the ledger the platform actually holds, with no model, no estimation and no external data. This section reports its output against the seeded demonstration farm at the baseline commit.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 at the baseline commit</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At the baseline commit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at the baseline commit.</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at the baseline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at the baseline commit. Two findings carried by earlier drafts of Table A.1 of Appendix A have been withdrawn: the Olympic-average yield baseline and the entry form’s crop list were both reported as implemented-but-unreachable, and both are reachable at the baseline commit.</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At the baseline commit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at the baseline commit,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for the baseline commit: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 for the baseline commit.</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per-crop margin and ranking, unit cost on both a harvest and a marketable basis, retrospective break-even yield, both break-even prices, a sensitivity matrix, an operating-expense ratio, an Olympic-average yield baseline and a partial budget from a live ledger,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the database census and the live probes were captured on 29 August 2026 and re-verified on 7 September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r w:rsidR="00C07D64"/>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lastRenderedPageBreak/>
        <w:t>Structural integrity of the record. At the baseline commit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At the baseline commit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at the baseline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per-crop gross margin and ranking, retrospective break-even yield, both break-even prices, sensitivity matrix, operating-expense ratio, and partial budget.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 for the baseline commit</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