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I dedicate this project to my dear friend, Olu-Arimoro Fadunsayemi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Dr. Imologie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Prof. </w:t>
      </w:r>
      <w:r w:rsidR="00831D04">
        <w:t xml:space="preserve">P. A. Adeoye </w:t>
      </w:r>
      <w:r>
        <w:t xml:space="preserve">and to all the academic and non-academic staff of the Department of Agricultural and </w:t>
      </w:r>
      <w:r w:rsidR="00BA1859">
        <w:t>Bio resources</w:t>
      </w:r>
      <w:r>
        <w:t xml:space="preserve"> </w:t>
      </w:r>
      <w:bookmarkStart w:id="0" w:name="_GoBack"/>
      <w:bookmarkEnd w:id="0"/>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I would also like to thank my friends and family for their unwavering moral and financial support, which has been instrumental in the successful completion of my undergraduate studies. Finally, above all, I thank God for the grace and strength to see this endeavor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the submitted commit returned 426 collected backend cases — 422 passed, 4 skipped, none failed — at 96% statement coverage over 1,601 statements, with 148 frontend tests across 13 files at 42.14% statement coverage, and the drying model recovered its designed parameters exactly.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ms to 70.6 ms and largest contentful paint to 1,612.0 ms. Role-based authorisation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MiB gives an estimated ₦20,950 per month, or ₦105 per farm </w:t>
      </w:r>
      <w:r>
        <w:rPr>
          <w:szCs w:val="24"/>
        </w:rPr>
        <w:lastRenderedPageBreak/>
        <w:t>at a two-hundred-farm tenancy. The usability evaluation was not conducted and no System Usability Scale score is reported, so that objective is only partly met,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3.6.4 Mechanisation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3.6.7 Tokenised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3"/>
        <w:tabs>
          <w:tab w:val="right" w:leader="dot" w:pos="8503"/>
        </w:tabs>
      </w:pPr>
      <w:r>
        <w:t>5.1.3 Achievement Against the Research Objectives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 at the baseline commit</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Table B.1: Security and authorisation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Figure 4.6: Farm level cost structure: 88.3% of ₦598,450 recorded cost classified by cost behaviour,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Figure 4.8: Profit and loss by activity category, with mechanisation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Figure 4.12: Recording a mechanisation cost, showing the cost classification control and land area entered as free text in the absence of an area field</w:t>
      </w:r>
      <w:r>
        <w:tab/>
        <w:t>—</w:t>
      </w:r>
    </w:p>
    <w:p w:rsidR="009C29EC" w:rsidRDefault="008A0666">
      <w:pPr>
        <w:pStyle w:val="TOC1"/>
        <w:tabs>
          <w:tab w:val="right" w:leader="dot" w:pos="8503"/>
        </w:tabs>
      </w:pPr>
      <w:r>
        <w:t>Figure 4.13: Record list filtered to mechanisation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1" w:name="_Toc238053074"/>
      <w:bookmarkStart w:id="2" w:name="_Toc238621364"/>
      <w:r>
        <w:rPr>
          <w:bCs/>
          <w:szCs w:val="24"/>
        </w:rPr>
        <w:t>1.1 Background of the Study</w:t>
      </w:r>
      <w:bookmarkEnd w:id="1"/>
      <w:bookmarkEnd w:id="2"/>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(Dayıoğlu &amp; Türker, 2021). To meet these escalating demands while mitigating the adverse impacts of climate change, resource depletion, and environmental degradation, traditional farming methodologies are rapidly shifting towards “Agriculture 4.0” (Abbasi et al., 2022). This paradigm integrates modern information and communication technologies (ICT), the Internet of Things (IoT), artificial intelligence (AI), and data analytics to optimise agricultural systems (Abiri et al., 2023). At the core of this digital transformation is the necessity for accurate, real-time data collection and on-farm recordkeeping, which serve as the foundation for precision agriculture and operational efficiency (Basir et al., 2024).</w:t>
      </w:r>
    </w:p>
    <w:p w:rsidR="0054721A" w:rsidRDefault="008A0666">
      <w:pPr>
        <w:pStyle w:val="BodyPara"/>
      </w:pPr>
      <w:r>
        <w:rPr>
          <w:szCs w:val="24"/>
        </w:rPr>
        <w:t xml:space="preserve">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(Basir et al., 2024). In response, Farm Management Information Systems (FMIS) evolved from simple digitalised field books into complex platforms designed to collect, process, store, and disseminate data to support human decision-making in farm enterprises (Fountas et al., 2015; Tummers et al., 2019). Modern digital recordkeeping platforms streamline administrative burdens, facilitate data interoperability, and enable precise financial tracking and bioprocess monitoring. Empirical adoption studies further establish that </w:t>
      </w:r>
      <w:r>
        <w:rPr>
          <w:szCs w:val="24"/>
        </w:rPr>
        <w:t>uptake of these systems is strongly conditioned by farmers’ education, access to advisory services, and access to rural credit—factors that are unevenly distributed in developing economies (Carrer et al., 2017).</w:t>
      </w:r>
    </w:p>
    <w:p w:rsidR="0054721A" w:rsidRDefault="008A0666">
      <w:pPr>
        <w:pStyle w:val="BodyPara"/>
      </w:pPr>
      <w:r>
        <w:rPr>
          <w:szCs w:val="24"/>
        </w:rPr>
        <w:t>However, the distribution and adoption of these digital agricultural technologies remain highly unequal globally (Javaid et al., 2022; Mhlanga &amp; Ndhlovu,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(Abioye et al., 2024). Market analyses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Ndhlovu, 2023). Consequently, while the existing 32% smartphone penetration provides a critical leapfrog opportunity to deploy mobile-based agricultural advisory services, comprehensive digital farm record management remains heavily underutilised. Engineers and software developers must therefore contextualise global digital-farming advancements into localised, accessible platforms. Developing tools that merge farm mechanisation tracking, post-harvest bioprocess monitoring, and financial management into a single decision-support architecture holds the potential to strengthen agricultural productivity in Nigeria.</w:t>
      </w:r>
    </w:p>
    <w:p w:rsidR="0054721A" w:rsidRDefault="008A0666">
      <w:pPr>
        <w:pStyle w:val="H2"/>
      </w:pPr>
      <w:bookmarkStart w:id="3" w:name="_Toc238053075"/>
      <w:bookmarkStart w:id="4" w:name="_Toc238621365"/>
      <w:r>
        <w:rPr>
          <w:bCs/>
          <w:szCs w:val="24"/>
        </w:rPr>
        <w:t>1.2 Statement of the Problem</w:t>
      </w:r>
      <w:bookmarkEnd w:id="3"/>
      <w:bookmarkEnd w:id="4"/>
    </w:p>
    <w:p w:rsidR="0054721A" w:rsidRDefault="008A0666" w:rsidP="0054721A">
      <w:pPr>
        <w:pStyle w:val="BodyPara"/>
      </w:pPr>
      <w:r>
        <w:rPr>
          <w:szCs w:val="24"/>
        </w:rPr>
        <w:t xml:space="preserve">Despite the well-documented benefits of digital agriculture, practitioners and engineers in Nigeria face severe bottlenecks in adopting existing Farm Management Information Systems (FMIS) (Tummers et al., 2019). Current commercial FMIS platforms and </w:t>
      </w:r>
      <w:r>
        <w:rPr>
          <w:szCs w:val="24"/>
        </w:rPr>
        <w:t>Enterprise Resource Planning (ERP) systems frequently exhibit high complexity, lack standardised data formats, and impose prohibitive costs that exclude small and medium-scale farmers (Fountas et al., 2015; Giua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(Poppe et al., 2023)</w:t>
      </w:r>
      <w:r w:rsidR="00C97671">
        <w:rPr>
          <w:szCs w:val="24"/>
        </w:rPr>
        <w:t>. Because essential metrics</w:t>
      </w:r>
      <w:r w:rsidR="00801DB6">
        <w:rPr>
          <w:szCs w:val="24"/>
        </w:rPr>
        <w:t xml:space="preserve"> </w:t>
      </w:r>
      <w:r>
        <w:rPr>
          <w:szCs w:val="24"/>
        </w:rPr>
        <w:t>such as equipment maintenance schedules, labour inputs, crop-yield d</w:t>
      </w:r>
      <w:r w:rsidR="00801DB6">
        <w:rPr>
          <w:szCs w:val="24"/>
        </w:rPr>
        <w:t xml:space="preserve">ata, and financial expenditures </w:t>
      </w:r>
      <w:r>
        <w:rPr>
          <w:szCs w:val="24"/>
        </w:rPr>
        <w:t>are siloed, farmers cannot accurately correlate mechanisation inputs or biological variables with actual financial profitability (Gebresenbet et al., 2023).</w:t>
      </w:r>
    </w:p>
    <w:p w:rsidR="0054721A" w:rsidRDefault="008A0666">
      <w:pPr>
        <w:pStyle w:val="BodyPara"/>
      </w:pPr>
      <w:r>
        <w:rPr>
          <w:szCs w:val="24"/>
        </w:rPr>
        <w:t>Without interoperable, structured data, Nigerian agricultural enterprises cannot deploy predictive analytics or decision-support algorithms to optimise resource utilisation (van Klompenburg et al., 2020). In rural contexts where poor internet connectivity and limited technical training exacerbate these issues, deploying resource-intensive, cloud-heavy ERP solutions proves impractical (Abbasi et al., 2022; Mhlanga &amp; Ndhlovu, 2023). Therefore, a critical gap exists for a localised,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5" w:name="_Toc238053076"/>
      <w:bookmarkStart w:id="6" w:name="_Toc238621366"/>
      <w:r>
        <w:rPr>
          <w:bCs/>
          <w:szCs w:val="24"/>
        </w:rPr>
        <w:t>1.3 Aim and Objectives</w:t>
      </w:r>
      <w:bookmarkEnd w:id="5"/>
      <w:bookmarkEnd w:id="6"/>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w:t>
      </w:r>
      <w:r>
        <w:rPr>
          <w:szCs w:val="24"/>
        </w:rPr>
        <w:lastRenderedPageBreak/>
        <w:t>overcomes socio-technical adoption barriers to improve resource allocation, mechanisation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r>
        <w:rPr>
          <w:szCs w:val="24"/>
        </w:rPr>
        <w:t>i.</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(Carrer et al., 2017; Tummers et al., 2019).</w:t>
      </w:r>
    </w:p>
    <w:p w:rsidR="0054721A" w:rsidRDefault="008A0666" w:rsidP="0054721A">
      <w:pPr>
        <w:pStyle w:val="ListItem"/>
        <w:tabs>
          <w:tab w:val="left" w:pos="864"/>
        </w:tabs>
      </w:pPr>
      <w:r>
        <w:rPr>
          <w:szCs w:val="24"/>
        </w:rPr>
        <w:t>ii.</w:t>
      </w:r>
      <w:r>
        <w:rPr>
          <w:szCs w:val="24"/>
        </w:rPr>
        <w:tab/>
        <w:t>To formulate a conceptual system architecture for the AGRI-PROFIT platform that translates static operational and financial farm records into dynamic, actionable decision-support metrics for costing crop enterprises and for capturing mechanisation and equipment expenditure within the same ledger (Gebresenbet et al., 2023).</w:t>
      </w:r>
    </w:p>
    <w:p w:rsidR="0054721A" w:rsidRDefault="008A0666" w:rsidP="0054721A">
      <w:pPr>
        <w:pStyle w:val="ListItem"/>
        <w:tabs>
          <w:tab w:val="left" w:pos="864"/>
        </w:tabs>
      </w:pPr>
      <w:r>
        <w:rPr>
          <w:szCs w:val="24"/>
        </w:rPr>
        <w:t>iii.</w:t>
      </w:r>
      <w:r>
        <w:rPr>
          <w:szCs w:val="24"/>
        </w:rPr>
        <w:tab/>
        <w:t>To design and integrate a secure data-sharing framework within the platform architecture that standardises yield and profit/loss reporting, serving as a verifiable analytical tool to build operational trust among agricultural banks, investors, and policymakers (Xiong et al., 2020; Abiri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(Onwude et al., 2016; Baidhe et al., 2024).</w:t>
      </w:r>
    </w:p>
    <w:p w:rsidR="0054721A" w:rsidRDefault="008A0666">
      <w:pPr>
        <w:pStyle w:val="H2"/>
      </w:pPr>
      <w:bookmarkStart w:id="7" w:name="_Toc238053077"/>
      <w:bookmarkStart w:id="8" w:name="_Toc238621367"/>
      <w:r>
        <w:rPr>
          <w:bCs/>
          <w:szCs w:val="24"/>
        </w:rPr>
        <w:t>1.4 Justification of the Study</w:t>
      </w:r>
      <w:bookmarkEnd w:id="7"/>
      <w:bookmarkEnd w:id="8"/>
    </w:p>
    <w:p w:rsidR="0054721A" w:rsidRDefault="008A0666" w:rsidP="0054721A">
      <w:pPr>
        <w:pStyle w:val="BodyPara"/>
      </w:pPr>
      <w:r>
        <w:rPr>
          <w:szCs w:val="24"/>
        </w:rPr>
        <w:t>The development of the AGRI-PROFIT platform delivers immediate economic and operational benefits to agricultural producers while significantly advancing the discipline of Agricultural and Bio-resources Engineering. For farmers and agribusiness managers, the system addresses the critical need to mitigate administrative burdens and overcome data fragmentation (Poppe et al., 2023). By synthesising operational field records with financial data, AGRI-PROFIT empowers farm managers to transition from intuition-based strategies (Husemann &amp; Novković, 2012) to evidence-based precision farming. This transition allows producers to precisely calculate production costs, reduce resource wastage, and maximise gross margins at the specific crop-enterprise level (Basir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(Carrer et al., 2017; Tummers et al., 2019). By formulating a robust conceptual system architecture, the platform addresses a major macro-economic problem for the agricultural sector: the lack of credible, standardised data required by agricultural banks and investors to approve financing or insurance (Gebresenbet et al., 2023; Xiong et al., 2020).</w:t>
      </w:r>
    </w:p>
    <w:p w:rsidR="0054721A" w:rsidRDefault="008A0666">
      <w:pPr>
        <w:pStyle w:val="BodyPara"/>
      </w:pPr>
      <w:r>
        <w:rPr>
          <w:szCs w:val="24"/>
        </w:rPr>
        <w:lastRenderedPageBreak/>
        <w:t>For Agricultural and Bio-resources Engineers, this research demonstrates the vital intersection of cyber-physical systems, data analytics, and agricultural management, often termed AgInformatics (Dayıoğlu &amp; Türker, 2021). As the Nigerian agricultural sector seeks to modernise, engineers must move beyond designing physical machinery to developing the software infrastructures required to manage those machines efficiently. Developing localised digital tools ensures that Nigeria can sustainably participate in the Agriculture 4.0 revolution, ultimately driving long-term food security and economic resilience (Mhlanga &amp; Ndhlovu, 2023).</w:t>
      </w:r>
    </w:p>
    <w:p w:rsidR="0054721A" w:rsidRDefault="008A0666">
      <w:pPr>
        <w:pStyle w:val="H2"/>
      </w:pPr>
      <w:bookmarkStart w:id="9" w:name="_Toc238053078"/>
      <w:bookmarkStart w:id="10" w:name="_Toc238621368"/>
      <w:r>
        <w:rPr>
          <w:bCs/>
          <w:szCs w:val="24"/>
        </w:rPr>
        <w:t>1.5 Scope and Limitations of the Study</w:t>
      </w:r>
      <w:bookmarkEnd w:id="9"/>
      <w:bookmarkEnd w:id="10"/>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of the AGRI-PROFIT platform, tailored specifically for Nigerian agricultural practices. The platform primarily targets core FMIS functionalities: digital operational logbooks, financial-accounting integration, mechanisation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prioritises manual digital inputs via smartphones or computers rather than relying on fully automated, capital-intensive IoT sensor networks (Abbasi et al., 2022; Basir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Ndhlovu,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tokenised standardised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rather than advanced deep-learning algorithms, keeping the computational requirement within modest server hosting and accessible mobile clients (van Klompenburg et al., 2020).</w:t>
      </w:r>
    </w:p>
    <w:p w:rsidR="009C29EC" w:rsidRDefault="008A0666">
      <w:pPr>
        <w:pStyle w:val="ChapterLabel"/>
      </w:pPr>
      <w:bookmarkStart w:id="11" w:name="_Toc238621369"/>
      <w:r>
        <w:rPr>
          <w:szCs w:val="28"/>
        </w:rPr>
        <w:lastRenderedPageBreak/>
        <w:t>CHAPTER TWO</w:t>
      </w:r>
      <w:bookmarkEnd w:id="11"/>
    </w:p>
    <w:p w:rsidR="009C29EC" w:rsidRDefault="008A0666">
      <w:pPr>
        <w:pStyle w:val="ChapterTitle"/>
      </w:pPr>
      <w:bookmarkStart w:id="12" w:name="_Toc238621370"/>
      <w:r>
        <w:rPr>
          <w:szCs w:val="28"/>
        </w:rPr>
        <w:t>2.0</w:t>
      </w:r>
      <w:r w:rsidR="00742DC7">
        <w:rPr>
          <w:szCs w:val="28"/>
        </w:rPr>
        <w:t> LITERATURE</w:t>
      </w:r>
      <w:r>
        <w:rPr>
          <w:szCs w:val="28"/>
        </w:rPr>
        <w:t xml:space="preserve"> REVIEW</w:t>
      </w:r>
      <w:bookmarkEnd w:id="12"/>
    </w:p>
    <w:p w:rsidR="0054721A" w:rsidRDefault="008A0666">
      <w:pPr>
        <w:pStyle w:val="H2"/>
      </w:pPr>
      <w:bookmarkStart w:id="13" w:name="_Toc238053080"/>
      <w:bookmarkStart w:id="14" w:name="_Toc238621371"/>
      <w:r>
        <w:rPr>
          <w:bCs/>
          <w:szCs w:val="24"/>
        </w:rPr>
        <w:t>2.1 Conceptual Review</w:t>
      </w:r>
      <w:bookmarkEnd w:id="13"/>
      <w:bookmarkEnd w:id="14"/>
    </w:p>
    <w:p w:rsidR="0054721A" w:rsidRDefault="008A0666">
      <w:pPr>
        <w:pStyle w:val="H3"/>
      </w:pPr>
      <w:bookmarkStart w:id="15" w:name="_Toc238053081"/>
      <w:bookmarkStart w:id="16" w:name="_Toc238621372"/>
      <w:r>
        <w:rPr>
          <w:bCs/>
          <w:szCs w:val="24"/>
        </w:rPr>
        <w:t>2.1.1 The Evolution of Farm Record Management</w:t>
      </w:r>
      <w:bookmarkEnd w:id="15"/>
      <w:bookmarkEnd w:id="16"/>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To address these inefficiencies, Farm Management Information Systems (FMIS) emerged as centralised, planned architectures designed to collect, process, store, and disseminate agricultural data (Fountas et al., 2015). A critical evolutionary flaw, however, occurred in farm administration: the separation of Farm Financial Accounts (FFA) from operational bioprocess records. As Poppe et al. (2023) observed, financial accounting and farm-management systems originated from the same historical note-taking practices but diverged into separate software ecosystems as they computerised.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7" w:name="_Toc238053082"/>
      <w:bookmarkStart w:id="18" w:name="_Toc238621373"/>
      <w:r>
        <w:rPr>
          <w:bCs/>
          <w:szCs w:val="24"/>
        </w:rPr>
        <w:lastRenderedPageBreak/>
        <w:t>2.1.2 Decision-Support Systems (DSS)</w:t>
      </w:r>
      <w:bookmarkEnd w:id="17"/>
      <w:bookmarkEnd w:id="18"/>
    </w:p>
    <w:p w:rsidR="0054721A" w:rsidRDefault="008A0666" w:rsidP="0054721A">
      <w:pPr>
        <w:pStyle w:val="BodyPara"/>
      </w:pPr>
      <w:r>
        <w:rPr>
          <w:szCs w:val="24"/>
        </w:rPr>
        <w:t>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optimised alternatives (van Klompenburg et al., 2020). By converting complex biological and economic variables into understandable visualisations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(Olisah et al., 2024).</w:t>
      </w:r>
    </w:p>
    <w:p w:rsidR="0054721A" w:rsidRDefault="008A0666">
      <w:pPr>
        <w:pStyle w:val="H3"/>
      </w:pPr>
      <w:bookmarkStart w:id="19" w:name="_Toc238053083"/>
      <w:bookmarkStart w:id="20" w:name="_Toc238621374"/>
      <w:r>
        <w:rPr>
          <w:bCs/>
          <w:szCs w:val="24"/>
        </w:rPr>
        <w:t>2.1.3 The Shift from Manual to Digital Agriculture (Agriculture 4.0)</w:t>
      </w:r>
      <w:bookmarkEnd w:id="19"/>
      <w:bookmarkEnd w:id="20"/>
    </w:p>
    <w:p w:rsidR="0054721A" w:rsidRDefault="008A0666" w:rsidP="0054721A">
      <w:pPr>
        <w:pStyle w:val="BodyPara"/>
      </w:pPr>
      <w:r>
        <w:rPr>
          <w:szCs w:val="24"/>
        </w:rPr>
        <w:t>The agricultural sector is currently undergoing a disruptive transformation termed “Agriculture 4.0” or digital agriculture. This paradigm shifts farming from intuition-based practices to data-driven precision by integrating the IoT, artificial intelligence, robotics, and big-data analytics. Agriculture 4.0 operates across distinct architectural layers: sensors and IoT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utilises Edge Computin</w:t>
      </w:r>
      <w:r w:rsidR="00376534">
        <w:rPr>
          <w:szCs w:val="24"/>
        </w:rPr>
        <w:t xml:space="preserve">g, which processes data locally closer to the farm </w:t>
      </w:r>
      <w:r>
        <w:rPr>
          <w:szCs w:val="24"/>
        </w:rPr>
        <w:t xml:space="preserve">thereby reducing latency and mitigating the vulnerabilities of poor rural internet connectivity (Abiri et al., 2023; Dayıoğlu &amp; Türker, 2021). Mhlanga and Ndhlovu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1" w:name="_Toc238053084"/>
      <w:bookmarkStart w:id="22" w:name="_Toc238621375"/>
      <w:r>
        <w:rPr>
          <w:bCs/>
          <w:szCs w:val="24"/>
        </w:rPr>
        <w:t>2.2 Theoretical Framework</w:t>
      </w:r>
      <w:bookmarkEnd w:id="21"/>
      <w:bookmarkEnd w:id="22"/>
    </w:p>
    <w:p w:rsidR="0054721A" w:rsidRDefault="008A0666">
      <w:pPr>
        <w:pStyle w:val="H3"/>
      </w:pPr>
      <w:bookmarkStart w:id="23" w:name="_Toc238053085"/>
      <w:bookmarkStart w:id="24" w:name="_Toc238621376"/>
      <w:r>
        <w:rPr>
          <w:bCs/>
          <w:szCs w:val="24"/>
        </w:rPr>
        <w:t>2.2.1 Technology Acceptance and Innovation Systems Theories</w:t>
      </w:r>
      <w:bookmarkEnd w:id="23"/>
      <w:bookmarkEnd w:id="24"/>
    </w:p>
    <w:p w:rsidR="0054721A" w:rsidRDefault="008A0666" w:rsidP="0054721A">
      <w:pPr>
        <w:pStyle w:val="BodyPara"/>
      </w:pPr>
      <w:r>
        <w:rPr>
          <w:szCs w:val="24"/>
        </w:rPr>
        <w:t>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operationalises these constructs, showing that education, advisory access, and credit access materially shift the adoption decision (Carrer et al., 2017). Innovation Systems Theory further emphasises that successful digital transformation requires robust collaboration among technology providers, agricultural practitioners, advisory services, and policymakers.</w:t>
      </w:r>
    </w:p>
    <w:p w:rsidR="0054721A" w:rsidRDefault="008A0666">
      <w:pPr>
        <w:pStyle w:val="H3"/>
      </w:pPr>
      <w:bookmarkStart w:id="25" w:name="_Toc238053086"/>
      <w:bookmarkStart w:id="26" w:name="_Toc238621377"/>
      <w:r>
        <w:rPr>
          <w:bCs/>
          <w:szCs w:val="24"/>
        </w:rPr>
        <w:t>2.2.2 The Theory of Bounded Rationality</w:t>
      </w:r>
      <w:bookmarkEnd w:id="25"/>
      <w:bookmarkEnd w:id="26"/>
    </w:p>
    <w:p w:rsidR="0054721A" w:rsidRDefault="008A0666" w:rsidP="0054721A">
      <w:pPr>
        <w:pStyle w:val="BodyPara"/>
      </w:pPr>
      <w:r>
        <w:rPr>
          <w:szCs w:val="24"/>
        </w:rPr>
        <w:t>Traditional agricultural economics often relies on “rational choice” theory, assuming farmers always act to maximise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synthesised, clear options rather than overwhelming them with raw, unprocessed big data—a design principle directly reflected in the AGRI-PROFIT decision-support layer.</w:t>
      </w:r>
    </w:p>
    <w:p w:rsidR="0054721A" w:rsidRDefault="008A0666">
      <w:pPr>
        <w:pStyle w:val="H3"/>
      </w:pPr>
      <w:bookmarkStart w:id="27" w:name="_Toc238053087"/>
      <w:bookmarkStart w:id="28" w:name="_Toc238621378"/>
      <w:r>
        <w:rPr>
          <w:bCs/>
          <w:szCs w:val="24"/>
        </w:rPr>
        <w:lastRenderedPageBreak/>
        <w:t>2.2.3 Socio-Technical Systems Perspective</w:t>
      </w:r>
      <w:bookmarkEnd w:id="27"/>
      <w:bookmarkEnd w:id="28"/>
    </w:p>
    <w:p w:rsidR="0054721A" w:rsidRDefault="008A0666" w:rsidP="0054721A">
      <w:pPr>
        <w:pStyle w:val="BodyPara"/>
      </w:pPr>
      <w:r>
        <w:rPr>
          <w:szCs w:val="24"/>
        </w:rPr>
        <w:t>From a socio-technical perspective, digitalisation fundamentally alters organisational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directly constrain the successful integration of digital platforms (Mhlanga &amp; Ndhlovu, 2023). Thus, engineering a farm-management platform requires addressing both the technical architecture and the social realities of the target demographic.</w:t>
      </w:r>
    </w:p>
    <w:p w:rsidR="0054721A" w:rsidRDefault="008A0666">
      <w:pPr>
        <w:pStyle w:val="H2"/>
      </w:pPr>
      <w:bookmarkStart w:id="29" w:name="_Toc238053088"/>
      <w:bookmarkStart w:id="30" w:name="_Toc238621379"/>
      <w:r>
        <w:rPr>
          <w:bCs/>
          <w:szCs w:val="24"/>
        </w:rPr>
        <w:t>2.3 The Nigerian Context: Precision Agriculture and Mobile Scaling</w:t>
      </w:r>
      <w:bookmarkEnd w:id="29"/>
      <w:bookmarkEnd w:id="30"/>
    </w:p>
    <w:p w:rsidR="0054721A" w:rsidRDefault="008A0666" w:rsidP="0054721A">
      <w:pPr>
        <w:pStyle w:val="BodyPara"/>
      </w:pPr>
      <w:r>
        <w:rPr>
          <w:szCs w:val="24"/>
        </w:rPr>
        <w:t>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Ndhlovu,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agritech. To mitigate these realities, localised deployment strategies must prioritise mobile-first, low-bandwidth software integrated with off-grid or solar-powered infrastructure. </w:t>
      </w:r>
      <w:r>
        <w:rPr>
          <w:szCs w:val="24"/>
        </w:rPr>
        <w:lastRenderedPageBreak/>
        <w:t>Furthermore, national integration policies such as the Food and Agriculture Organization’s (FAO) Digital Village Initiative (DVI) in Nigeria champion centralised, ecosystem co-creation platforms to eliminate middlemen and specifically attract youth involvement through digital innovation.</w:t>
      </w:r>
    </w:p>
    <w:p w:rsidR="0054721A" w:rsidRDefault="008A0666">
      <w:pPr>
        <w:pStyle w:val="H2"/>
      </w:pPr>
      <w:bookmarkStart w:id="31" w:name="_Toc238053089"/>
      <w:bookmarkStart w:id="32" w:name="_Toc238621380"/>
      <w:r>
        <w:rPr>
          <w:bCs/>
          <w:szCs w:val="24"/>
        </w:rPr>
        <w:t>2.4 Empirical Review and Socio-Technical Barriers to Adoption</w:t>
      </w:r>
      <w:bookmarkEnd w:id="31"/>
      <w:bookmarkEnd w:id="32"/>
    </w:p>
    <w:p w:rsidR="0054721A" w:rsidRDefault="008A0666">
      <w:pPr>
        <w:pStyle w:val="H3"/>
      </w:pPr>
      <w:bookmarkStart w:id="33" w:name="_Toc238053090"/>
      <w:bookmarkStart w:id="34" w:name="_Toc238621381"/>
      <w:r>
        <w:rPr>
          <w:bCs/>
          <w:szCs w:val="24"/>
        </w:rPr>
        <w:t>2.4.1 Review of Existing Systems</w:t>
      </w:r>
      <w:bookmarkEnd w:id="33"/>
      <w:bookmarkEnd w:id="34"/>
    </w:p>
    <w:p w:rsidR="0054721A" w:rsidRDefault="008A0666" w:rsidP="0054721A">
      <w:pPr>
        <w:pStyle w:val="BodyPara"/>
      </w:pPr>
      <w:r>
        <w:rPr>
          <w:szCs w:val="24"/>
        </w:rPr>
        <w:t>Existing literature thoroughly documents the evolution of FMIS and Enterprise Resource Planning (ERP) systems (Fountas et al., 2015). Currently, commercial ERP software effectively handles internal payroll, invoicing, and supply-chain logistics, but such systems predominantly target large-scale, highly capitalised commercial farms (Carrer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5" w:name="_Toc238053091"/>
      <w:bookmarkStart w:id="36" w:name="_Toc238621382"/>
      <w:r>
        <w:rPr>
          <w:bCs/>
          <w:szCs w:val="24"/>
        </w:rPr>
        <w:t>2.4.2 Socio-Technical Barriers to Adoption</w:t>
      </w:r>
      <w:bookmarkEnd w:id="35"/>
      <w:bookmarkEnd w:id="36"/>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A primary technical roadblock is the absence of standardised data-exchange protocols among heterogeneous agricultural devices and software. Because current platforms operate as isolated silos, farmers face difficulties transferring data between applications, which severely restricts scalability (Tummers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(Poppe et al., 2023).</w:t>
      </w:r>
    </w:p>
    <w:p w:rsidR="0054721A" w:rsidRDefault="008A0666" w:rsidP="0054721A">
      <w:pPr>
        <w:pStyle w:val="ListItem"/>
        <w:tabs>
          <w:tab w:val="left" w:pos="864"/>
        </w:tabs>
      </w:pPr>
      <w:r>
        <w:rPr>
          <w:szCs w:val="24"/>
        </w:rPr>
        <w:t>(c)</w:t>
      </w:r>
      <w:r>
        <w:rPr>
          <w:szCs w:val="24"/>
        </w:rPr>
        <w:tab/>
        <w:t>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Ndhlovu, 2023).</w:t>
      </w:r>
    </w:p>
    <w:p w:rsidR="0054721A" w:rsidRDefault="008A0666" w:rsidP="0054721A">
      <w:pPr>
        <w:pStyle w:val="ListItem"/>
        <w:tabs>
          <w:tab w:val="left" w:pos="864"/>
        </w:tabs>
      </w:pPr>
      <w:r>
        <w:rPr>
          <w:szCs w:val="24"/>
        </w:rPr>
        <w:t>(d)</w:t>
      </w:r>
      <w:r>
        <w:rPr>
          <w:szCs w:val="24"/>
        </w:rPr>
        <w:tab/>
        <w:t>Infrastructural and Economic Constraints: High initial capital costs, unstable electricity, and limited internet connectivity in rural areas render many existing commercial FMIS platforms impractical for resource-constrained smallholders (Mhlanga &amp; Ndhlovu, 2023).</w:t>
      </w:r>
    </w:p>
    <w:p w:rsidR="0054721A" w:rsidRDefault="008A0666">
      <w:pPr>
        <w:pStyle w:val="H2"/>
      </w:pPr>
      <w:bookmarkStart w:id="37" w:name="_Toc238053092"/>
      <w:bookmarkStart w:id="38" w:name="_Toc238621383"/>
      <w:r>
        <w:rPr>
          <w:bCs/>
          <w:szCs w:val="24"/>
        </w:rPr>
        <w:t>2.5 Data-Sharing and Stakeholder Trust</w:t>
      </w:r>
      <w:bookmarkEnd w:id="37"/>
      <w:bookmarkEnd w:id="38"/>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(Gebresenbet et al., 2023).</w:t>
      </w:r>
    </w:p>
    <w:p w:rsidR="0054721A" w:rsidRDefault="008A0666">
      <w:pPr>
        <w:pStyle w:val="BodyPara"/>
      </w:pPr>
      <w:r>
        <w:rPr>
          <w:szCs w:val="24"/>
        </w:rPr>
        <w:t xml:space="preserve">To overcome this, modern architectures increasingly integrate blockchain technology as a secure data-governance mechanism (Xiong et al., 2020). Blockchain utilises an immutable, distributed digital ledger to store yield data, mechanisation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(Xiong et al., 2020). Within the scope of the present study, however, AGRI-PROFIT operationalises this trust requirement through a more immediately deployable mechanism: authenticated, access-controlled, tokenised standardised reporting. A per-farm data boundary restricts each enterprise’s records to its owner, while read-only, time-limited views expose standardised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9" w:name="_Toc238053093"/>
      <w:bookmarkStart w:id="40" w:name="_Toc238621384"/>
      <w:r>
        <w:rPr>
          <w:bCs/>
          <w:szCs w:val="24"/>
        </w:rPr>
        <w:t>2.6 Structuring the Decision-Support Prediction Model for AGRI-PROFIT</w:t>
      </w:r>
      <w:bookmarkEnd w:id="39"/>
      <w:bookmarkEnd w:id="40"/>
    </w:p>
    <w:p w:rsidR="0054721A" w:rsidRDefault="008A0666" w:rsidP="0054721A">
      <w:pPr>
        <w:pStyle w:val="BodyPara"/>
      </w:pPr>
      <w:r>
        <w:rPr>
          <w:szCs w:val="24"/>
        </w:rPr>
        <w:t>Building on the conceptual review of decision-support systems (Section 2.1.2), this section establishes the methodological structure that AGRI-PROFIT will follow to convert unified operational and financial records into predictive decision support. The structure is organised as a layered pipeline, deliberately progressing from lightweight deterministic logic to optional data-driven models so that the platform remains viable on accessible mobile processors and under intermittent connectivity (van Klompenburg et al., 2020; Olisah et al., 2024).</w:t>
      </w:r>
    </w:p>
    <w:p w:rsidR="0054721A" w:rsidRDefault="008A0666">
      <w:pPr>
        <w:pStyle w:val="H3"/>
      </w:pPr>
      <w:bookmarkStart w:id="41" w:name="_Toc238053094"/>
      <w:bookmarkStart w:id="42" w:name="_Toc238621385"/>
      <w:r>
        <w:rPr>
          <w:bCs/>
          <w:szCs w:val="24"/>
        </w:rPr>
        <w:t>2.6.1 Data Layer and Feature Definition</w:t>
      </w:r>
      <w:bookmarkEnd w:id="41"/>
      <w:bookmarkEnd w:id="42"/>
    </w:p>
    <w:p w:rsidR="0054721A" w:rsidRDefault="008A0666" w:rsidP="0054721A">
      <w:pPr>
        <w:pStyle w:val="BodyPara"/>
      </w:pPr>
      <w:r>
        <w:rPr>
          <w:szCs w:val="24"/>
        </w:rPr>
        <w:t xml:space="preserve">The prediction pipeline begins with the unified data layer that distinguishes AGRI-PROFIT from siloed systems. Operational records (planting and harvest dates, input applications, labour hours, mechanisation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rather than maintained as isolated ledgers. This pairing, enforced at the write layer, is what allows operational activity and its financial consequence to be analysed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rainfall, fertiliser applied and soil pH. A wider feature set is specified here as the intended direction of the data layer rather than as a delivered one: cultivated area, season, machine-hours, labour-hours,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3" w:name="_Toc238053095"/>
      <w:bookmarkStart w:id="44" w:name="_Toc238621386"/>
      <w:r>
        <w:rPr>
          <w:bCs/>
          <w:szCs w:val="24"/>
        </w:rPr>
        <w:t>2.6.2 Data Pre-processing</w:t>
      </w:r>
      <w:bookmarkEnd w:id="43"/>
      <w:bookmarkEnd w:id="44"/>
    </w:p>
    <w:p w:rsidR="0054721A" w:rsidRDefault="008A0666" w:rsidP="0054721A">
      <w:pPr>
        <w:pStyle w:val="BodyPara"/>
      </w:pPr>
      <w:r>
        <w:rPr>
          <w:szCs w:val="24"/>
        </w:rPr>
        <w:t>Because smallholder records are typically sparse and inconsistent, a pre-processing stage is essential before any model is trained or applied. This stage handles missing values through imputation, harmonises units and date intervals, removes obvious outliers, and normalises numeric ranges. Olisah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5" w:name="_Toc238053096"/>
      <w:bookmarkStart w:id="46" w:name="_Toc238621387"/>
      <w:r>
        <w:rPr>
          <w:bCs/>
          <w:szCs w:val="24"/>
        </w:rPr>
        <w:t>2.6.3 A Tiered Modelling Strategy</w:t>
      </w:r>
      <w:bookmarkEnd w:id="45"/>
      <w:bookmarkEnd w:id="46"/>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Once sufficient historical records accumulate, multiple linear or regularised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 xml:space="preserve">Tier 3 – Lightweight machine learning (optional, server-assisted). Where data volume permits, tree-based ensembles such as Random Forest and Extreme Gradient Boosting (XGBoost) are indicated, as they consistently achieve strong accuracy on tabular agricultural data at far lower computational cost than deep </w:t>
      </w:r>
      <w:r>
        <w:rPr>
          <w:szCs w:val="24"/>
        </w:rPr>
        <w:lastRenderedPageBreak/>
        <w:t>neural networks (van Klompenburg et al., 2020). The counter-case must be stated: for a Nigerian corn-yield decision-support task, Olisah et al. (2024) report that a carefully tuned deep neural network regressor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This progression describes a general methodological ladder drawn from the literature. The AGRI-PROFIT platform realises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7" w:name="_Toc238053097"/>
      <w:bookmarkStart w:id="48" w:name="_Toc238621388"/>
      <w:r>
        <w:rPr>
          <w:bCs/>
          <w:szCs w:val="24"/>
        </w:rPr>
        <w:t>2.6.4 Model Training, Validation, and Evaluation Metrics</w:t>
      </w:r>
      <w:bookmarkEnd w:id="47"/>
      <w:bookmarkEnd w:id="48"/>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Klompenburg et al., 2020). In the current implementation, continuous predictions (yield) are evaluated using the coefficient of determination (R²) and the Mean Absolute Error (MAE); the Root Mean Square Error (RMSE) is a standard complementary measure for such tasks and is additionally reported, and Olisah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9" w:name="_Toc238053098"/>
      <w:bookmarkStart w:id="50" w:name="_Toc238621389"/>
      <w:r>
        <w:rPr>
          <w:bCs/>
          <w:szCs w:val="24"/>
        </w:rPr>
        <w:t xml:space="preserve">2.6.5 </w:t>
      </w:r>
      <w:r w:rsidR="00376534">
        <w:rPr>
          <w:bCs/>
          <w:szCs w:val="24"/>
        </w:rPr>
        <w:t>From</w:t>
      </w:r>
      <w:r>
        <w:rPr>
          <w:bCs/>
          <w:szCs w:val="24"/>
        </w:rPr>
        <w:t xml:space="preserve"> Prediction to Decision Support</w:t>
      </w:r>
      <w:bookmarkEnd w:id="49"/>
      <w:bookmarkEnd w:id="50"/>
    </w:p>
    <w:p w:rsidR="0054721A" w:rsidRDefault="008A0666" w:rsidP="0054721A">
      <w:pPr>
        <w:pStyle w:val="BodyPara"/>
      </w:pPr>
      <w:r>
        <w:rPr>
          <w:szCs w:val="24"/>
        </w:rPr>
        <w:t>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standardised outputs feed the trusted data-sharing layer described in Section 2.5 (Xiong et al., 2020). Deployment remains mobile-first and low-bandwidth: the deterministic tier requires no training data and runs on modest server hosting, with results delivered to the mobile client, while the optional forecast tier likewise runs server-side and its outputs are synchronised when connectivity is available (Mhlanga &amp; Ndhlovu,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n.d.). Drying is therefore not an optional refinement but the operation that determines whether a harvest survives to be sold.</w:t>
      </w:r>
    </w:p>
    <w:p w:rsidR="0054721A" w:rsidRDefault="008A0666" w:rsidP="0054721A">
      <w:pPr>
        <w:pStyle w:val="BodyPara"/>
      </w:pPr>
      <w:r>
        <w:t>The kinetics of that operation are conventionally described by thin-layer models, which express the dimensionless moisture ratio of a product as a function of drying time. Three are long established and remain the reference forms. The Newton, or Lewis, model, MR = exp(−kt), treats drying as a first-order process governed by a single rate constant (Lewis, 1921). The Page model, MR = exp(−k·tⁿ), introduces an empirical exponent that accommodates the deviation from first-order behaviour observed in most biological materials (Page, 1949). The Henderson and Pabis model adds a pre-exponential coefficient derived from the first term of the analytical solution to Fick’s second law (Henderson &amp; Pabis, 1961). Onwude et al. (2016), in a review of thin-layer modelling of fruits and vegetables, find that semi-theoretical forms of this kind dominate the applied literature precisely because they are fitted from a small number of time-and-mass observations that a practitioner can actually take, and Erbay and Icier (2010) reach the same conclusion for foods generally. Model parameters are recovered by regression on a linearising transform — for the Page model, the double logarithm ln(−ln MR) = ln k + n·ln t — which makes the fit reproducible and inspectable rather than opaque.</w:t>
      </w:r>
    </w:p>
    <w:p w:rsidR="0054721A" w:rsidRDefault="008A0666" w:rsidP="0054721A">
      <w:pPr>
        <w:pStyle w:val="BodyPara"/>
      </w:pPr>
      <w:r>
        <w:lastRenderedPageBreak/>
        <w:t>The moisture ratio on which these models operate is conventionally defined as MR = (M − Me)/(M0 − Me), where M is the moisture content at time t, M0 the initial moisture content and Me the equilibrium moisture content — the value at which the produce is in balance with the water vapour in the surrounding air, and which varies with both relative humidity and temperature (FAO, 1988; Onwude et al., 2016). The present implementation neglects Me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while the upper bound is biological: a moisture content above which mould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r>
        <w:t>Baidhe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behaviour,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1" w:name="_Toc238053099"/>
      <w:bookmarkStart w:id="52" w:name="_Toc238621390"/>
      <w:r>
        <w:rPr>
          <w:bCs/>
          <w:szCs w:val="24"/>
        </w:rPr>
        <w:t>2.8 Gap in Literature</w:t>
      </w:r>
      <w:bookmarkEnd w:id="51"/>
      <w:bookmarkEnd w:id="52"/>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(Carrer et al., 2017; Fountas et al., 2015). Consequently, there is a severe lack of lightweight, localised frameworks tailored specifically for the socio-technical and infrastructural realities of Nigerian agriculture, which remains dominated by smallholders and medium-scale enterprises facing distinct infrastructural deficits (Mhlanga &amp; Ndhlovu, 2023).</w:t>
      </w:r>
    </w:p>
    <w:p w:rsidR="0054721A" w:rsidRDefault="008A0666">
      <w:pPr>
        <w:pStyle w:val="BodyPara"/>
      </w:pPr>
      <w:r>
        <w:rPr>
          <w:szCs w:val="24"/>
        </w:rPr>
        <w:t xml:space="preserve">Furthermore, while studies acknowledge the chronic problem of data fragmentation between agricultural operations and financial accounting (Poppe et al., 2023), there is a critical scarcity of conceptual system architectures that successfully integrate these disparate data streams within a low-bandwidth, mobile-first platform and convert them </w:t>
      </w:r>
      <w:r>
        <w:rPr>
          <w:szCs w:val="24"/>
        </w:rPr>
        <w:lastRenderedPageBreak/>
        <w:t>into appropriately lightweight predictive decision support (van Klompenburg et al., 2020; Olisah et al., 2024). Finally, current tools focus almost exclusively on internal farm management, neglecting the macro-economic necessity of secure data-shari</w:t>
      </w:r>
      <w:r w:rsidR="00376534">
        <w:rPr>
          <w:szCs w:val="24"/>
        </w:rPr>
        <w:t xml:space="preserve">ng protocols such as blockchain </w:t>
      </w:r>
      <w:r>
        <w:rPr>
          <w:szCs w:val="24"/>
        </w:rPr>
        <w:t>to build operational trust with agricultural banks and investors (Xiong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(Onwude et al., 2016; Baidhe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3" w:name="_Toc238621391"/>
      <w:r>
        <w:rPr>
          <w:szCs w:val="28"/>
        </w:rPr>
        <w:lastRenderedPageBreak/>
        <w:t>CHAPTER THREE</w:t>
      </w:r>
      <w:bookmarkEnd w:id="53"/>
    </w:p>
    <w:p w:rsidR="009C29EC" w:rsidRDefault="008A0666">
      <w:pPr>
        <w:pStyle w:val="ChapterTitle"/>
      </w:pPr>
      <w:bookmarkStart w:id="54" w:name="_Toc238621392"/>
      <w:r>
        <w:rPr>
          <w:szCs w:val="28"/>
        </w:rPr>
        <w:t>3.0</w:t>
      </w:r>
      <w:r w:rsidR="00376534">
        <w:rPr>
          <w:szCs w:val="28"/>
        </w:rPr>
        <w:t> SYSTEM</w:t>
      </w:r>
      <w:r>
        <w:rPr>
          <w:szCs w:val="28"/>
        </w:rPr>
        <w:t xml:space="preserve"> DESIGN AND METHODOLOGY</w:t>
      </w:r>
      <w:bookmarkEnd w:id="54"/>
    </w:p>
    <w:p w:rsidR="0054721A" w:rsidRDefault="008A0666">
      <w:pPr>
        <w:pStyle w:val="H2"/>
      </w:pPr>
      <w:bookmarkStart w:id="55" w:name="_Toc238053101"/>
      <w:bookmarkStart w:id="56" w:name="_Toc238621393"/>
      <w:r>
        <w:rPr>
          <w:bCs/>
          <w:szCs w:val="24"/>
        </w:rPr>
        <w:t>3.1 Introduction</w:t>
      </w:r>
      <w:bookmarkEnd w:id="55"/>
      <w:bookmarkEnd w:id="56"/>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tokenised stakeholder-reporting mechanism. Objective 4 (evaluation of usability, cost-effectiveness, and viability) is addressed through the multi-strand evaluation methodology presented in Section 3.8.</w:t>
      </w:r>
    </w:p>
    <w:p w:rsidR="0054721A" w:rsidRDefault="008A0666">
      <w:pPr>
        <w:pStyle w:val="H2"/>
      </w:pPr>
      <w:bookmarkStart w:id="57" w:name="_Toc238053102"/>
      <w:bookmarkStart w:id="58" w:name="_Toc238621394"/>
      <w:r>
        <w:rPr>
          <w:bCs/>
          <w:szCs w:val="24"/>
        </w:rPr>
        <w:t>3.2 Research and Development Methodology</w:t>
      </w:r>
      <w:bookmarkEnd w:id="57"/>
      <w:bookmarkEnd w:id="58"/>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(Git)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9" w:name="_Toc238053103"/>
      <w:bookmarkStart w:id="60" w:name="_Toc238621395"/>
      <w:r>
        <w:rPr>
          <w:bCs/>
          <w:szCs w:val="24"/>
        </w:rPr>
        <w:t>3.3 System Requirements Analysis</w:t>
      </w:r>
      <w:bookmarkEnd w:id="59"/>
      <w:bookmarkEnd w:id="60"/>
    </w:p>
    <w:p w:rsidR="0054721A" w:rsidRDefault="008A0666" w:rsidP="0054721A">
      <w:pPr>
        <w:pStyle w:val="BodyPara"/>
      </w:pPr>
      <w:r>
        <w:rPr>
          <w:szCs w:val="24"/>
        </w:rPr>
        <w:t>Requirements were derived from the problem analysis in Chapters One and Two and organised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1" w:name="_Toc238053104"/>
      <w:bookmarkStart w:id="62" w:name="_Toc238621396"/>
      <w:r>
        <w:rPr>
          <w:bCs/>
          <w:szCs w:val="24"/>
        </w:rPr>
        <w:t>3.3.1 Functional Requirements</w:t>
      </w:r>
      <w:bookmarkEnd w:id="61"/>
      <w:bookmarkEnd w:id="62"/>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from real records; classify recorded cost by economic behaviour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authorise each request against a named permission, and confine each user’s data to their own farm; and allow a farmer to grant a bank or investor a revocable, expiring, read-only view of standardised reports.</w:t>
      </w:r>
    </w:p>
    <w:p w:rsidR="0054721A" w:rsidRDefault="008A0666">
      <w:pPr>
        <w:pStyle w:val="H3"/>
      </w:pPr>
      <w:bookmarkStart w:id="63" w:name="_Toc238053105"/>
      <w:bookmarkStart w:id="64" w:name="_Toc238621397"/>
      <w:r>
        <w:rPr>
          <w:bCs/>
          <w:szCs w:val="24"/>
        </w:rPr>
        <w:t>3.3.2 Non-Functional Requirements</w:t>
      </w:r>
      <w:bookmarkEnd w:id="63"/>
      <w:bookmarkEnd w:id="64"/>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synchronised,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5" w:name="_Toc238053106"/>
      <w:bookmarkStart w:id="66" w:name="_Toc238621398"/>
      <w:r>
        <w:rPr>
          <w:bCs/>
          <w:szCs w:val="24"/>
        </w:rPr>
        <w:t>3.4 System Architecture</w:t>
      </w:r>
      <w:bookmarkEnd w:id="65"/>
      <w:bookmarkEnd w:id="66"/>
    </w:p>
    <w:p w:rsidR="0054721A" w:rsidRDefault="008A0666">
      <w:pPr>
        <w:pStyle w:val="H3"/>
      </w:pPr>
      <w:bookmarkStart w:id="67" w:name="_Toc238053107"/>
      <w:bookmarkStart w:id="68" w:name="_Toc238621399"/>
      <w:r>
        <w:rPr>
          <w:bCs/>
          <w:szCs w:val="24"/>
        </w:rPr>
        <w:t>3.4.1 Overall Architecture</w:t>
      </w:r>
      <w:bookmarkEnd w:id="67"/>
      <w:bookmarkEnd w:id="68"/>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9" w:name="_Toc238053108"/>
      <w:bookmarkStart w:id="70" w:name="_Toc238621400"/>
      <w:r>
        <w:rPr>
          <w:bCs/>
          <w:szCs w:val="24"/>
        </w:rPr>
        <w:t>3.4.2 Technology Stack</w:t>
      </w:r>
      <w:bookmarkEnd w:id="69"/>
      <w:bookmarkEnd w:id="70"/>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favour a small deployment footprint suitable for modest, low-cost hosting, in keeping with the cost-effectiveness objective.</w:t>
      </w:r>
    </w:p>
    <w:p w:rsidR="0054721A" w:rsidRDefault="008A0666">
      <w:pPr>
        <w:pStyle w:val="H2"/>
      </w:pPr>
      <w:bookmarkStart w:id="71" w:name="_Toc238053109"/>
      <w:bookmarkStart w:id="72" w:name="_Toc238621401"/>
      <w:r>
        <w:rPr>
          <w:bCs/>
          <w:szCs w:val="24"/>
        </w:rPr>
        <w:t>3.5 Data Model Design</w:t>
      </w:r>
      <w:bookmarkEnd w:id="71"/>
      <w:bookmarkEnd w:id="72"/>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analysed together, and it is the structural foundation on which the decision-support tier depends.</w:t>
      </w:r>
    </w:p>
    <w:p w:rsidR="0054721A" w:rsidRDefault="008A0666">
      <w:pPr>
        <w:pStyle w:val="BodyPara"/>
      </w:pPr>
      <w:r>
        <w:rPr>
          <w:szCs w:val="24"/>
        </w:rPr>
        <w:t>The principal entities of the data model are summarised in Table D.1 of Appendix D, and their relationships are shown in Figure 3.2. Two features of that diagram carry the design argument of this section: the one-to-one edge between OperationalLog and FinancialTransaction, which is enforced at the write layer rather than by a database constraint, and the self-reference on FinancialTransaction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3" w:name="_Toc238053110"/>
      <w:bookmarkStart w:id="74" w:name="_Toc238621402"/>
      <w:r>
        <w:rPr>
          <w:bCs/>
          <w:szCs w:val="24"/>
        </w:rPr>
        <w:t>3.6 Module Design</w:t>
      </w:r>
      <w:bookmarkEnd w:id="73"/>
      <w:bookmarkEnd w:id="74"/>
    </w:p>
    <w:p w:rsidR="0054721A" w:rsidRDefault="008A0666" w:rsidP="0054721A">
      <w:pPr>
        <w:pStyle w:val="BodyPara"/>
      </w:pPr>
      <w:r>
        <w:rPr>
          <w:szCs w:val="24"/>
        </w:rPr>
        <w:t>The platform is organised into cohesive modules, each with a defined responsibility. The design of each is described below; where a module is partially realised in the current release, the boundary between built and deferred behaviour is stated explicitly.</w:t>
      </w:r>
    </w:p>
    <w:p w:rsidR="0054721A" w:rsidRDefault="008A0666">
      <w:pPr>
        <w:pStyle w:val="H3"/>
      </w:pPr>
      <w:bookmarkStart w:id="75" w:name="_Toc238053111"/>
      <w:bookmarkStart w:id="76" w:name="_Toc238621403"/>
      <w:r>
        <w:rPr>
          <w:bCs/>
          <w:szCs w:val="24"/>
        </w:rPr>
        <w:t>3.6.1 Offline Operational Logbook</w:t>
      </w:r>
      <w:bookmarkEnd w:id="75"/>
      <w:bookmarkEnd w:id="76"/>
    </w:p>
    <w:p w:rsidR="0054721A" w:rsidRDefault="008A0666" w:rsidP="0054721A">
      <w:pPr>
        <w:pStyle w:val="BodyPara"/>
      </w:pPr>
      <w:r>
        <w:rPr>
          <w:szCs w:val="24"/>
        </w:rPr>
        <w:t>This module handles data entry for operations, yields, and post-harvest drying runs. To satisfy the offline-capture requirement, records entered without connectivity are queued in a local browser database and synchronised to the backend when a connection is restored. Synchronisation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another’s session. Offline reading is also implemented, and is described here as built rather than as planned: a service worker precaches the application shell and serves a stale-while-revalidate cache over the ledger, reporting and five named decision-support read endpoints, bounded at sixty-four entries and seven days. The cache is purged on every farm-scoped write and on any change of authenticated identity, because a caching layer that survives a correction would make the application misreport</w:t>
      </w:r>
      <w:r w:rsidR="00604EE9">
        <w:rPr>
          <w:szCs w:val="24"/>
        </w:rPr>
        <w:t xml:space="preserve"> its own state.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7" w:name="_Toc238053112"/>
      <w:bookmarkStart w:id="78" w:name="_Toc238621404"/>
      <w:r>
        <w:rPr>
          <w:bCs/>
          <w:szCs w:val="24"/>
        </w:rPr>
        <w:t>3.6.2 Financial Ledger Engine</w:t>
      </w:r>
      <w:bookmarkEnd w:id="77"/>
      <w:bookmarkEnd w:id="78"/>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t xml:space="preserve">Figure 3.3 traces a single record creation through the module. The property the sequence exists to make inspectable is that both rows are written inside one database </w:t>
      </w:r>
      <w:r>
        <w:lastRenderedPageBreak/>
        <w:t>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9" w:name="_Toc238053113"/>
      <w:bookmarkStart w:id="80" w:name="_Toc238621405"/>
      <w:r>
        <w:rPr>
          <w:bCs/>
          <w:szCs w:val="24"/>
        </w:rPr>
        <w:t>3.6.3 Reporting</w:t>
      </w:r>
      <w:bookmarkEnd w:id="79"/>
      <w:bookmarkEnd w:id="80"/>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and produces a standardised export in comma-separated-values (CSV) format. CSV is the only export format implemented; no PDF or spreadsheet export exists, and none is claimed. This export provides the standardised-reporting basis on which the stakeholder-sharing mechanism (Section 3.6.7) is built.</w:t>
      </w:r>
    </w:p>
    <w:p w:rsidR="0054721A" w:rsidRDefault="008A0666">
      <w:pPr>
        <w:pStyle w:val="H3"/>
      </w:pPr>
      <w:bookmarkStart w:id="81" w:name="_Toc238053114"/>
      <w:bookmarkStart w:id="82" w:name="_Toc238621406"/>
      <w:r>
        <w:rPr>
          <w:bCs/>
          <w:szCs w:val="24"/>
        </w:rPr>
        <w:t>3.6.4 Mechanisation and Equipment Tracker</w:t>
      </w:r>
      <w:bookmarkEnd w:id="81"/>
      <w:bookmarkEnd w:id="82"/>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mechanisation usage and fuel as operational entries tagged with the mechanisation activity category, so that machinery costs are captured within the ledger alongside other </w:t>
      </w:r>
      <w:r>
        <w:rPr>
          <w:szCs w:val="24"/>
        </w:rPr>
        <w:lastRenderedPageBreak/>
        <w:t>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and a break-even price quoted from a derived window should be pinned by specifying the period explicitly if it is to be held to.</w:t>
      </w:r>
    </w:p>
    <w:p w:rsidR="0054721A" w:rsidRDefault="008A0666" w:rsidP="0054721A">
      <w:pPr>
        <w:pStyle w:val="BodyPara"/>
      </w:pPr>
      <w:r>
        <w:rPr>
          <w:szCs w:val="24"/>
        </w:rPr>
        <w:lastRenderedPageBreak/>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A per-operation association between an individual activity and a specific equipment item, together with the hours that item was used, is captured and validated at the point of entry but is consumed by no service: the platform produces no machine-hour, utilisation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3" w:name="_Toc238053115"/>
      <w:bookmarkStart w:id="84" w:name="_Toc238621407"/>
      <w:r>
        <w:rPr>
          <w:bCs/>
          <w:szCs w:val="24"/>
        </w:rPr>
        <w:t>3.6.5 Predictive Decision-Support Engine</w:t>
      </w:r>
      <w:bookmarkEnd w:id="83"/>
      <w:bookmarkEnd w:id="84"/>
    </w:p>
    <w:p w:rsidR="0054721A" w:rsidRDefault="008A0666" w:rsidP="0054721A">
      <w:pPr>
        <w:pStyle w:val="BodyPara"/>
      </w:pPr>
      <w:r>
        <w:rPr>
          <w:szCs w:val="24"/>
        </w:rPr>
        <w:t>The decision-support engine follows a two-tier design that deliberately aligns model complexity with available data and device capability (van Klompenburg et al., 2020; Olisah et al., 2024).</w:t>
      </w:r>
    </w:p>
    <w:p w:rsidR="0054721A" w:rsidRDefault="008A0666" w:rsidP="0054721A">
      <w:pPr>
        <w:pStyle w:val="ListItem"/>
        <w:tabs>
          <w:tab w:val="left" w:pos="864"/>
        </w:tabs>
      </w:pPr>
      <w:r>
        <w:rPr>
          <w:szCs w:val="24"/>
        </w:rPr>
        <w:lastRenderedPageBreak/>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2 – Statistical yield forecast (optional). </w:t>
      </w:r>
      <w:r>
        <w:rPr>
          <w:szCs w:val="24"/>
        </w:rPr>
        <w:t>A Random Forest regressor produces a yield estimate from agronomic inputs such as rainfall, fertiliser, and soil pH, reporting error measures suited to regression tasks. The forecast is accompanied by a dispersion measure computed across the individual trees of the ensemble, reported as a confidence percentage and as an interval about the ensemble mean. The measure indicates agreement among trees; it is not a calibrated prediction interval, and is reported as such. Established methods for interval estimation from a random forest exist (Meinshausen, 2006; Wager et al., 2014) and are identified in Chapter Five as the route to a calibrated figure. [AUTHOR: rephrase]</w:t>
      </w:r>
    </w:p>
    <w:p w:rsidR="0054721A" w:rsidRDefault="008A0666">
      <w:pPr>
        <w:pStyle w:val="BodyPara"/>
      </w:pPr>
      <w:r>
        <w:rPr>
          <w:szCs w:val="24"/>
        </w:rPr>
        <w:lastRenderedPageBreak/>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Klompenburg et al., 2020; Olisah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5" w:name="_Toc238053116"/>
      <w:bookmarkStart w:id="86" w:name="_Toc238621408"/>
      <w:r>
        <w:rPr>
          <w:bCs/>
          <w:szCs w:val="24"/>
        </w:rPr>
        <w:t>3.6.6 Authentication and Per-Farm Data Boundary</w:t>
      </w:r>
      <w:bookmarkEnd w:id="85"/>
      <w:bookmarkEnd w:id="86"/>
    </w:p>
    <w:p w:rsidR="0054721A" w:rsidRDefault="008A0666" w:rsidP="0054721A">
      <w:pPr>
        <w:pStyle w:val="BodyPara"/>
      </w:pPr>
      <w:r>
        <w:rPr>
          <w:szCs w:val="24"/>
        </w:rPr>
        <w:t>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7" w:name="_Toc238053117"/>
      <w:bookmarkStart w:id="88" w:name="_Toc238621409"/>
      <w:r>
        <w:rPr>
          <w:bCs/>
          <w:szCs w:val="24"/>
        </w:rPr>
        <w:lastRenderedPageBreak/>
        <w:t>3.6.7 Tokenised Stakeholder Reporting</w:t>
      </w:r>
      <w:bookmarkEnd w:id="87"/>
      <w:bookmarkEnd w:id="88"/>
    </w:p>
    <w:p w:rsidR="0054721A" w:rsidRDefault="008A0666" w:rsidP="0054721A">
      <w:pPr>
        <w:pStyle w:val="BodyPara"/>
      </w:pPr>
      <w:r>
        <w:rPr>
          <w:szCs w:val="24"/>
        </w:rPr>
        <w:t>The trust-building element of Objective 3 is realised through a tokenised, read-only sharing mechanism. A farm owner may mint an opaque token that grants a bank or investor read-only access to that farm’s standardised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authorisation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tokenised reporting is the mechanism by which standardised data is shared with financial stakeholders; immutable distributed-ledger (blockchain) governance, reviewed in Chapter Two, is designed as a future extension that can layer cryptographic tamper-evidence onto this foundation.</w:t>
      </w:r>
    </w:p>
    <w:p w:rsidR="0054721A" w:rsidRDefault="008A0666">
      <w:pPr>
        <w:pStyle w:val="H3"/>
      </w:pPr>
      <w:bookmarkStart w:id="89" w:name="_Toc238053118"/>
      <w:bookmarkStart w:id="90" w:name="_Toc238621410"/>
      <w:r>
        <w:rPr>
          <w:bCs/>
          <w:szCs w:val="24"/>
        </w:rPr>
        <w:t>3.6.8 Feature-Phone (USSD/SMS) Data Entry — Designed, Not Implemented</w:t>
      </w:r>
      <w:bookmarkEnd w:id="89"/>
      <w:bookmarkEnd w:id="90"/>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intended mechanism is an inbound webhook accepting a message consisting of a sender identifier and a short structured text, a parser converting that text into an activity and an amount, a mapping from the sender’s number to a registered farm so that unregistered </w:t>
      </w:r>
      <w:r>
        <w:rPr>
          <w:szCs w:val="24"/>
        </w:rPr>
        <w:lastRenderedPageBreak/>
        <w:t>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webhook,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of water actually removed, held deliberately distinct from the mass difference so that process loss and drying performance are never the same number; a mean drying rate; a </w:t>
      </w:r>
      <w:r>
        <w:lastRenderedPageBreak/>
        <w:t>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linearising transform, ln(−ln MR) = ln k + n·ln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 xml:space="preserve">This module extends the deterministic tier from margin accounting to cost-behaviour analysis, and supplies the vocabulary of enterprise budgeting reviewed in Section 2.7.2 (Kay et al., 2016). Recorded cost is classified at the schema edge into variable, semi-variable and fixed behaviour; the proportion of cost that carries a subtype is reported as an explicit classification-coverage figure, and the residue is reported as </w:t>
      </w:r>
      <w:r>
        <w:lastRenderedPageBreak/>
        <w:t xml:space="preserve">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behaviour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added revenue, reduced cost, lost revenue and added cost — following the standard method for appraising incremental change in smallholder farming systems (CIMMYT, 1988; Kay et al., 2016) and is implemented twice — once server-side and once in the </w:t>
      </w:r>
      <w:r>
        <w:lastRenderedPageBreak/>
        <w:t>client, so that it survives offline — with both implementations asserted against a single shared hand-computed fixture.</w:t>
      </w:r>
    </w:p>
    <w:p w:rsidR="0054721A" w:rsidRDefault="008A0666">
      <w:pPr>
        <w:pStyle w:val="H2"/>
      </w:pPr>
      <w:bookmarkStart w:id="91" w:name="_Toc238053119"/>
      <w:bookmarkStart w:id="92" w:name="_Toc238621411"/>
      <w:r>
        <w:rPr>
          <w:bCs/>
          <w:szCs w:val="24"/>
        </w:rPr>
        <w:t>3.7 Security Design</w:t>
      </w:r>
      <w:bookmarkEnd w:id="91"/>
      <w:bookmarkEnd w:id="92"/>
    </w:p>
    <w:p w:rsidR="0054721A" w:rsidRDefault="008A0666" w:rsidP="0054721A">
      <w:pPr>
        <w:pStyle w:val="BodyPara"/>
      </w:pPr>
      <w:r>
        <w:rPr>
          <w:szCs w:val="24"/>
        </w:rPr>
        <w:t>Security is treated as a first-class requirement because the word “secure” appears in the aim and because Objective 3 depends on stakeholders trusting the platform’s outputs. The design rests on six elements. Authentication issues a signed token over credentials stored only as a hash. Authorisation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3" w:name="_Toc238053120"/>
      <w:bookmarkStart w:id="94" w:name="_Toc238621412"/>
      <w:r>
        <w:rPr>
          <w:bCs/>
          <w:szCs w:val="24"/>
        </w:rPr>
        <w:lastRenderedPageBreak/>
        <w:t>3.8 Evaluation Methodology</w:t>
      </w:r>
      <w:bookmarkEnd w:id="93"/>
      <w:bookmarkEnd w:id="94"/>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partly met.</w:t>
      </w:r>
    </w:p>
    <w:p w:rsidR="0054721A" w:rsidRDefault="008A0666">
      <w:pPr>
        <w:pStyle w:val="H3"/>
      </w:pPr>
      <w:bookmarkStart w:id="95" w:name="_Toc238053121"/>
      <w:bookmarkStart w:id="96" w:name="_Toc238621413"/>
      <w:r>
        <w:rPr>
          <w:bCs/>
          <w:szCs w:val="24"/>
        </w:rPr>
        <w:t>3.8.1 Functional Verification</w:t>
      </w:r>
      <w:bookmarkEnd w:id="95"/>
      <w:bookmarkEnd w:id="96"/>
    </w:p>
    <w:p w:rsidR="0054721A" w:rsidRDefault="008A0666" w:rsidP="0054721A">
      <w:pPr>
        <w:pStyle w:val="BodyPara"/>
      </w:pPr>
      <w:r>
        <w:rPr>
          <w:szCs w:val="24"/>
        </w:rPr>
        <w:t>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synchronises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7" w:name="_Toc238053122"/>
      <w:bookmarkStart w:id="98" w:name="_Toc238621414"/>
      <w:r>
        <w:rPr>
          <w:bCs/>
          <w:szCs w:val="24"/>
        </w:rPr>
        <w:t>3.8.2 Performance Benchmarking</w:t>
      </w:r>
      <w:bookmarkEnd w:id="97"/>
      <w:bookmarkEnd w:id="98"/>
    </w:p>
    <w:p w:rsidR="0054721A" w:rsidRDefault="008A0666" w:rsidP="0054721A">
      <w:pPr>
        <w:pStyle w:val="BodyPara"/>
      </w:pPr>
      <w:r>
        <w:rPr>
          <w:szCs w:val="24"/>
        </w:rPr>
        <w:t xml:space="preserve">Performance under constrained conditions is measured using an automated auditing tool (Lighthouse) run against the production build of the application, with device emulation </w:t>
      </w:r>
      <w:r>
        <w:rPr>
          <w:szCs w:val="24"/>
        </w:rPr>
        <w:lastRenderedPageBreak/>
        <w:t>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First Contentful Paint, Largest Contentful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9" w:name="_Toc238053123"/>
      <w:bookmarkStart w:id="100" w:name="_Toc238621415"/>
      <w:r>
        <w:rPr>
          <w:bCs/>
          <w:szCs w:val="24"/>
        </w:rPr>
        <w:t>3.8.3 Hosting-Cost Analysis</w:t>
      </w:r>
      <w:bookmarkEnd w:id="99"/>
      <w:bookmarkEnd w:id="100"/>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1" w:name="_Toc238053124"/>
      <w:bookmarkStart w:id="102" w:name="_Toc238621416"/>
      <w:r>
        <w:rPr>
          <w:bCs/>
          <w:szCs w:val="24"/>
        </w:rPr>
        <w:t>3.8.4 Usability Evaluation (Heuristic and SUS)</w:t>
      </w:r>
      <w:bookmarkEnd w:id="101"/>
      <w:bookmarkEnd w:id="102"/>
    </w:p>
    <w:p w:rsidR="0054721A" w:rsidRDefault="008A0666" w:rsidP="0054721A">
      <w:pPr>
        <w:pStyle w:val="BodyPara"/>
      </w:pPr>
      <w:r>
        <w:rPr>
          <w:szCs w:val="24"/>
        </w:rPr>
        <w:t xml:space="preserve">The usability strand is specified as an expert heuristic evaluation combined with a standardised usability questionnaire, a recognised and citable approach that is appropriate where a large end-user sample is not available (Nielsen &amp; Molich,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recording issues with severity ratings. Each evaluator would additionally complete the ten-item System Usability Scale (SUS), which yields a single score between 0 and 100 (Brooke, 1996); with a small evaluator panel the SUS score would be reported as </w:t>
      </w:r>
      <w:r>
        <w:rPr>
          <w:szCs w:val="24"/>
        </w:rPr>
        <w:lastRenderedPageBreak/>
        <w:t xml:space="preserve">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4.11 reports that absence and reports no figure against these instruments; the tables there are drafted to receive real data and are deliberately left empty.</w:t>
      </w:r>
    </w:p>
    <w:p w:rsidR="0054721A" w:rsidRDefault="008A0666">
      <w:pPr>
        <w:pStyle w:val="H3"/>
      </w:pPr>
      <w:bookmarkStart w:id="103" w:name="_Toc238053125"/>
      <w:bookmarkStart w:id="104" w:name="_Toc238621417"/>
      <w:r>
        <w:rPr>
          <w:bCs/>
          <w:szCs w:val="24"/>
        </w:rPr>
        <w:t>3.8.5 Designed Field Evaluation (Future Work)</w:t>
      </w:r>
      <w:bookmarkEnd w:id="103"/>
      <w:bookmarkEnd w:id="104"/>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5" w:name="_Toc238053126"/>
      <w:bookmarkStart w:id="106" w:name="_Toc238621418"/>
      <w:r>
        <w:rPr>
          <w:bCs/>
          <w:szCs w:val="24"/>
        </w:rPr>
        <w:t>3.9 Summary</w:t>
      </w:r>
      <w:bookmarkEnd w:id="105"/>
      <w:bookmarkEnd w:id="106"/>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approach with human-reviewed, agent-assisted implementation; a requirements analysis grounded in the socio-technical constraints of Nigerian agriculture, including one requirement the release does not meet; a client–server architecture built around a </w:t>
      </w:r>
      <w:r>
        <w:rPr>
          <w:szCs w:val="24"/>
        </w:rPr>
        <w:lastRenderedPageBreak/>
        <w:t>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mechanisation and equipment tracker, a two-tier decision-support engine whose deterministic tier computes nine quantities from real records and whose optional forecast tier is transparently trained on synthetic data, authentication and the per-farm boundary, tokenised stakeholder reporting, a designed but unimplemented feature-phone channel, the post-harvest drying module, and the enterprise-economics module. It set out a security design resting on authentication, role-based authorisation,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7" w:name="_Toc238621419"/>
      <w:r>
        <w:rPr>
          <w:szCs w:val="28"/>
        </w:rPr>
        <w:lastRenderedPageBreak/>
        <w:t>CHAPTER FOUR</w:t>
      </w:r>
      <w:bookmarkEnd w:id="107"/>
    </w:p>
    <w:p w:rsidR="009C29EC" w:rsidRDefault="008A0666">
      <w:pPr>
        <w:pStyle w:val="ChapterTitle"/>
      </w:pPr>
      <w:bookmarkStart w:id="108" w:name="_Toc238621420"/>
      <w:r>
        <w:rPr>
          <w:szCs w:val="28"/>
        </w:rPr>
        <w:t>4.0</w:t>
      </w:r>
      <w:r w:rsidR="00416C8F">
        <w:rPr>
          <w:szCs w:val="28"/>
        </w:rPr>
        <w:t> RESULTS</w:t>
      </w:r>
      <w:r>
        <w:rPr>
          <w:szCs w:val="28"/>
        </w:rPr>
        <w:t xml:space="preserve"> AND ANALYSIS</w:t>
      </w:r>
      <w:bookmarkEnd w:id="108"/>
    </w:p>
    <w:p w:rsidR="009C29EC" w:rsidRDefault="008A0666">
      <w:pPr>
        <w:pStyle w:val="H2"/>
      </w:pPr>
      <w:bookmarkStart w:id="109" w:name="_Toc238621421"/>
      <w:r>
        <w:rPr>
          <w:szCs w:val="24"/>
        </w:rPr>
        <w:t>4.1 Introduction</w:t>
      </w:r>
      <w:bookmarkEnd w:id="109"/>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left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tblHeader/>
          <w:jc w:val="center"/>
        </w:trPr>
        <w:tc>
          <w:tcPr>
            <w:tcW w:w="2834" w:type="dxa"/>
            <w:tcBorders>
              <w:bottom w:val="single" w:sz="4" w:space="0" w:color="auto"/>
            </w:tcBorders>
            <w:vAlign w:val="center"/>
          </w:tcPr>
          <w:p w:rsidR="009C29EC" w:rsidRDefault="008A0666">
            <w:pPr>
              <w:pStyle w:val="TableCell"/>
            </w:pPr>
            <w:r>
              <w:rPr>
                <w:b/>
                <w:bCs/>
                <w:sz w:val="22"/>
              </w:rPr>
              <w:t>Class</w:t>
            </w:r>
          </w:p>
        </w:tc>
        <w:tc>
          <w:tcPr>
            <w:tcW w:w="2835" w:type="dxa"/>
            <w:tcBorders>
              <w:bottom w:val="single" w:sz="4" w:space="0" w:color="auto"/>
            </w:tcBorders>
            <w:vAlign w:val="center"/>
          </w:tcPr>
          <w:p w:rsidR="009C29EC" w:rsidRDefault="008A0666">
            <w:pPr>
              <w:pStyle w:val="TableCell"/>
            </w:pPr>
            <w:r>
              <w:rPr>
                <w:b/>
                <w:bCs/>
                <w:sz w:val="22"/>
              </w:rPr>
              <w:t>What it means</w:t>
            </w:r>
          </w:p>
        </w:tc>
        <w:tc>
          <w:tcPr>
            <w:tcW w:w="2835" w:type="dxa"/>
            <w:tcBorders>
              <w:bottom w:val="single" w:sz="4" w:space="0" w:color="auto"/>
            </w:tcBorders>
            <w:vAlign w:val="center"/>
          </w:tcPr>
          <w:p w:rsidR="009C29EC" w:rsidRDefault="008A0666">
            <w:pPr>
              <w:pStyle w:val="TableCell"/>
            </w:pPr>
            <w:r>
              <w:rPr>
                <w:b/>
                <w:bCs/>
                <w:sz w:val="22"/>
              </w:rPr>
              <w:t>What may establish it</w:t>
            </w:r>
          </w:p>
        </w:tc>
      </w:tr>
      <w:tr w:rsidR="009C29EC" w:rsidTr="00416C8F">
        <w:trPr>
          <w:jc w:val="center"/>
        </w:trPr>
        <w:tc>
          <w:tcPr>
            <w:tcW w:w="2834" w:type="dxa"/>
            <w:tcBorders>
              <w:top w:val="single" w:sz="4" w:space="0" w:color="auto"/>
              <w:bottom w:val="nil"/>
            </w:tcBorders>
            <w:vAlign w:val="center"/>
          </w:tcPr>
          <w:p w:rsidR="009C29EC" w:rsidRDefault="008A0666">
            <w:pPr>
              <w:pStyle w:val="TableCell"/>
            </w:pPr>
            <w:r>
              <w:rPr>
                <w:sz w:val="22"/>
              </w:rPr>
              <w:t>Implemented</w:t>
            </w:r>
          </w:p>
        </w:tc>
        <w:tc>
          <w:tcPr>
            <w:tcW w:w="2835" w:type="dxa"/>
            <w:tcBorders>
              <w:top w:val="single" w:sz="4" w:space="0" w:color="auto"/>
              <w:bottom w:val="nil"/>
            </w:tcBorders>
            <w:vAlign w:val="center"/>
          </w:tcPr>
          <w:p w:rsidR="009C29EC" w:rsidRDefault="008A0666">
            <w:pPr>
              <w:pStyle w:val="TableCell"/>
            </w:pPr>
            <w:r>
              <w:rPr>
                <w:sz w:val="22"/>
              </w:rPr>
              <w:t>The code exists and, where stated, is reachable by a user.</w:t>
            </w:r>
          </w:p>
        </w:tc>
        <w:tc>
          <w:tcPr>
            <w:tcW w:w="2835" w:type="dxa"/>
            <w:tcBorders>
              <w:top w:val="single" w:sz="4" w:space="0" w:color="auto"/>
              <w:bottom w:val="nil"/>
            </w:tcBorders>
            <w:vAlign w:val="center"/>
          </w:tcPr>
          <w:p w:rsidR="009C29EC" w:rsidRDefault="008A0666">
            <w:pPr>
              <w:pStyle w:val="TableCell"/>
            </w:pPr>
            <w:r>
              <w:rPr>
                <w:sz w:val="22"/>
              </w:rPr>
              <w:t>Source inspection and the deployed application.</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A named, passing automated test asserts the behaviour.</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jc w:val="center"/>
        </w:trPr>
        <w:tc>
          <w:tcPr>
            <w:tcW w:w="2834" w:type="dxa"/>
            <w:tcBorders>
              <w:top w:val="nil"/>
              <w:bottom w:val="single" w:sz="4" w:space="0" w:color="auto"/>
            </w:tcBorders>
            <w:vAlign w:val="center"/>
          </w:tcPr>
          <w:p w:rsidR="009C29EC" w:rsidRDefault="008A0666">
            <w:pPr>
              <w:pStyle w:val="TableCell"/>
            </w:pPr>
            <w:r>
              <w:rPr>
                <w:sz w:val="22"/>
              </w:rPr>
              <w:t>Numerical result</w:t>
            </w:r>
          </w:p>
        </w:tc>
        <w:tc>
          <w:tcPr>
            <w:tcW w:w="2835" w:type="dxa"/>
            <w:tcBorders>
              <w:top w:val="nil"/>
              <w:bottom w:val="single" w:sz="4" w:space="0" w:color="auto"/>
            </w:tcBorders>
            <w:vAlign w:val="center"/>
          </w:tcPr>
          <w:p w:rsidR="009C29EC" w:rsidRDefault="008A0666">
            <w:pPr>
              <w:pStyle w:val="TableCell"/>
            </w:pPr>
            <w:r>
              <w:rPr>
                <w:sz w:val="22"/>
              </w:rPr>
              <w:t>A measured or computed value with a named command or artefact behind it.</w:t>
            </w:r>
          </w:p>
        </w:tc>
        <w:tc>
          <w:tcPr>
            <w:tcW w:w="2835" w:type="dxa"/>
            <w:tcBorders>
              <w:top w:val="nil"/>
              <w:bottom w:val="single" w:sz="4" w:space="0" w:color="auto"/>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t>The reporting baseline. The evidence in this chapter is drawn from two implementation states, and each class of evidence is attributed to the state at which it was produced. The numerical figures, the database census and the live probes were captured on 29 August 2026 and re-verified against the running system on 7 September 2026, returning identical values on every figure.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Objective 2 concerns the conversion of recorded farm activity into decision-relevant financial information. The deterministic tier is exactly that conversion: it computes from the ledger the platform actually holds, with no model, no estimation and no external data. This section reports its output against the seeded demonstration farm at the baseline commit. Every figure is a live API response, and every one is traceable to the records that produced it.</w:t>
      </w:r>
    </w:p>
    <w:p w:rsidR="009C29EC" w:rsidRDefault="008A0666">
      <w:pPr>
        <w:pStyle w:val="TableCaption"/>
      </w:pPr>
      <w:bookmarkStart w:id="110" w:name="_Toc238621500"/>
      <w:r>
        <w:rPr>
          <w:szCs w:val="24"/>
        </w:rPr>
        <w:t>Table 4.2: Per-crop decision support, farm 26, at the baseline commit</w:t>
      </w:r>
      <w:bookmarkEnd w:id="110"/>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tblHeader/>
          <w:jc w:val="center"/>
        </w:trPr>
        <w:tc>
          <w:tcPr>
            <w:tcW w:w="1259"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Rank</w:t>
            </w:r>
          </w:p>
        </w:tc>
        <w:tc>
          <w:tcPr>
            <w:tcW w:w="945"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Crop</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Revenue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Expenses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Gross margin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Yield</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Marketable mass</w:t>
            </w:r>
          </w:p>
        </w:tc>
      </w:tr>
      <w:tr w:rsidR="009C29EC" w:rsidRPr="008A0770" w:rsidTr="008A0770">
        <w:trPr>
          <w:jc w:val="center"/>
        </w:trPr>
        <w:tc>
          <w:tcPr>
            <w:tcW w:w="1259"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1</w:t>
            </w:r>
          </w:p>
        </w:tc>
        <w:tc>
          <w:tcPr>
            <w:tcW w:w="945"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Cowpea</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624,950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267,700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357,250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480 kg</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431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lastRenderedPageBreak/>
              <w:t>2</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Cassava</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178,600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94,400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84,200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1,880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3</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Maize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45,000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3,500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41,500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100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84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4</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Tomato</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5</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Sorghum</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945"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Farm total</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848,550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598,450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250,100</w:t>
            </w: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behaviour exists.</w:t>
      </w:r>
    </w:p>
    <w:p w:rsidR="00F36560" w:rsidRDefault="006C7058">
      <w:pPr>
        <w:pStyle w:val="BodyPara"/>
      </w:pPr>
      <w:r>
        <w:t>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normalise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1" w:name="_Toc238621501"/>
      <w:r>
        <w:rPr>
          <w:szCs w:val="24"/>
        </w:rPr>
        <w:t>Table 4.3: Unit cost of production, farm 26</w:t>
      </w:r>
      <w:bookmarkEnd w:id="111"/>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tblHeader/>
          <w:jc w:val="center"/>
        </w:trPr>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jc w:val="center"/>
        </w:trPr>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Maize</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Harvest (wet) mass</w:t>
            </w:r>
          </w:p>
        </w:tc>
        <w:tc>
          <w:tcPr>
            <w:tcW w:w="2000" w:type="dxa"/>
            <w:tcBorders>
              <w:top w:val="single" w:sz="4" w:space="0" w:color="auto"/>
            </w:tcBorders>
            <w:vAlign w:val="center"/>
          </w:tcPr>
          <w:p w:rsidR="009C29EC" w:rsidRPr="003A60A6" w:rsidRDefault="008A0666">
            <w:pPr>
              <w:pStyle w:val="TableCell"/>
              <w:rPr>
                <w:sz w:val="24"/>
                <w:szCs w:val="24"/>
              </w:rPr>
            </w:pPr>
            <w:r w:rsidRPr="003A60A6">
              <w:rPr>
                <w:sz w:val="24"/>
                <w:szCs w:val="24"/>
              </w:rPr>
              <w:t>100 kg</w:t>
            </w:r>
          </w:p>
        </w:tc>
        <w:tc>
          <w:tcPr>
            <w:tcW w:w="2001" w:type="dxa"/>
            <w:tcBorders>
              <w:top w:val="single" w:sz="4" w:space="0" w:color="auto"/>
            </w:tcBorders>
            <w:vAlign w:val="center"/>
          </w:tcPr>
          <w:p w:rsidR="009C29EC" w:rsidRPr="003A60A6" w:rsidRDefault="008A0666">
            <w:pPr>
              <w:pStyle w:val="TableCell"/>
              <w:rPr>
                <w:sz w:val="24"/>
                <w:szCs w:val="24"/>
              </w:rPr>
            </w:pPr>
            <w:r w:rsidRPr="003A60A6">
              <w:rPr>
                <w:b/>
                <w:bCs/>
                <w:sz w:val="24"/>
                <w:szCs w:val="24"/>
              </w:rPr>
              <w:t>₦35.00 / kg</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Cassava</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Harvest mass</w:t>
            </w:r>
          </w:p>
        </w:tc>
        <w:tc>
          <w:tcPr>
            <w:tcW w:w="2000" w:type="dxa"/>
            <w:tcBorders>
              <w:bottom w:val="single" w:sz="4" w:space="0" w:color="auto"/>
            </w:tcBorders>
            <w:vAlign w:val="center"/>
          </w:tcPr>
          <w:p w:rsidR="009C29EC" w:rsidRPr="003A60A6" w:rsidRDefault="008A0666">
            <w:pPr>
              <w:pStyle w:val="TableCell"/>
              <w:rPr>
                <w:sz w:val="24"/>
                <w:szCs w:val="24"/>
              </w:rPr>
            </w:pPr>
            <w:r w:rsidRPr="003A60A6">
              <w:rPr>
                <w:sz w:val="24"/>
                <w:szCs w:val="24"/>
              </w:rPr>
              <w:t>1,880 kg</w:t>
            </w:r>
          </w:p>
        </w:tc>
        <w:tc>
          <w:tcPr>
            <w:tcW w:w="20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₦50.21 / kg</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₦63.40 per kilogram. The two crops differ in how much the basis matters, and the </w:t>
      </w:r>
      <w:r>
        <w:rPr>
          <w:szCs w:val="24"/>
        </w:rPr>
        <w:lastRenderedPageBreak/>
        <w:t>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2" w:name="_Toc238621438"/>
      <w:r>
        <w:rPr>
          <w:szCs w:val="24"/>
        </w:rPr>
        <w:t>4.4.1 Retrospective break-even yield</w:t>
      </w:r>
      <w:bookmarkEnd w:id="112"/>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3" w:name="_Toc238621502"/>
      <w:r>
        <w:rPr>
          <w:szCs w:val="24"/>
        </w:rPr>
        <w:t>Table 4.4: Retrospective break-even yield, farm 26</w:t>
      </w:r>
      <w:bookmarkEnd w:id="113"/>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tblHeader/>
          <w:jc w:val="center"/>
        </w:trPr>
        <w:tc>
          <w:tcPr>
            <w:tcW w:w="1343"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Crop</w:t>
            </w:r>
          </w:p>
        </w:tc>
        <w:tc>
          <w:tcPr>
            <w:tcW w:w="1791"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Recorded cost (₦)</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Realised price (₦/kg)</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Break-even yield</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Actual yield</w:t>
            </w:r>
          </w:p>
        </w:tc>
      </w:tr>
      <w:tr w:rsidR="009C29EC" w:rsidTr="004F5D51">
        <w:trPr>
          <w:jc w:val="center"/>
        </w:trPr>
        <w:tc>
          <w:tcPr>
            <w:tcW w:w="1343"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Maize</w:t>
            </w:r>
          </w:p>
        </w:tc>
        <w:tc>
          <w:tcPr>
            <w:tcW w:w="1791"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3,500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450.00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7.78 kg</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100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Cassava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94,400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95.00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1,880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Cowpea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267,700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1,301.98</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480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Tomato</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112,900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w:t>
            </w:r>
          </w:p>
        </w:tc>
      </w:tr>
      <w:tr w:rsidR="009C29EC" w:rsidTr="004F5D51">
        <w:trPr>
          <w:jc w:val="center"/>
        </w:trPr>
        <w:tc>
          <w:tcPr>
            <w:tcW w:w="1343"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Sorghum</w:t>
            </w:r>
          </w:p>
        </w:tc>
        <w:tc>
          <w:tcPr>
            <w:tcW w:w="1791"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119,950</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Table 4.4 sets each crop’s recorded cost and realised price against the output that would have covered them. The maize record covered its recorded cash costs within the first eight kilograms sold. The nulls are as informative as the numbers: where no sale has been recorded there is no realised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4" w:name="_Toc238621443"/>
      <w:r>
        <w:rPr>
          <w:szCs w:val="24"/>
        </w:rPr>
        <w:lastRenderedPageBreak/>
        <w:t>4.4.2 Dual break-even price and yield sensitivity</w:t>
      </w:r>
      <w:bookmarkEnd w:id="114"/>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5" w:name="_Toc238621505"/>
      <w:r>
        <w:rPr>
          <w:szCs w:val="24"/>
        </w:rPr>
        <w:t>Table 4.5: Break-even price, maize and cowpea, farm 26</w:t>
      </w:r>
      <w:bookmarkEnd w:id="11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tblHeader/>
          <w:jc w:val="center"/>
        </w:trPr>
        <w:tc>
          <w:tcPr>
            <w:tcW w:w="3404" w:type="dxa"/>
            <w:vAlign w:val="center"/>
          </w:tcPr>
          <w:p w:rsidR="009C29EC" w:rsidRDefault="008A0666">
            <w:pPr>
              <w:pStyle w:val="TableCell"/>
            </w:pPr>
            <w:r>
              <w:rPr>
                <w:b/>
                <w:bCs/>
                <w:sz w:val="22"/>
              </w:rPr>
              <w:t>Quantity</w:t>
            </w:r>
          </w:p>
        </w:tc>
        <w:tc>
          <w:tcPr>
            <w:tcW w:w="2550" w:type="dxa"/>
            <w:vAlign w:val="center"/>
          </w:tcPr>
          <w:p w:rsidR="009C29EC" w:rsidRDefault="008A0666">
            <w:pPr>
              <w:pStyle w:val="TableCell"/>
            </w:pPr>
            <w:r>
              <w:rPr>
                <w:b/>
                <w:bCs/>
                <w:sz w:val="22"/>
              </w:rPr>
              <w:t>Maize</w:t>
            </w:r>
          </w:p>
        </w:tc>
        <w:tc>
          <w:tcPr>
            <w:tcW w:w="2550" w:type="dxa"/>
            <w:vAlign w:val="center"/>
          </w:tcPr>
          <w:p w:rsidR="009C29EC" w:rsidRDefault="008A0666">
            <w:pPr>
              <w:pStyle w:val="TableCell"/>
            </w:pPr>
            <w:r>
              <w:rPr>
                <w:b/>
                <w:bCs/>
                <w:sz w:val="22"/>
              </w:rPr>
              <w:t>Cowpea</w:t>
            </w:r>
          </w:p>
        </w:tc>
      </w:tr>
      <w:tr w:rsidR="009C29EC">
        <w:trPr>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behaviour it was not given. A wider gap between the two prices is therefore not by itself evidence of a heavier asset </w:t>
      </w:r>
      <w:r>
        <w:rPr>
          <w:szCs w:val="24"/>
        </w:rPr>
        <w:lastRenderedPageBreak/>
        <w:t>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6" w:name="_Toc238621506"/>
      <w:r>
        <w:rPr>
          <w:szCs w:val="24"/>
        </w:rPr>
        <w:t>Table 4.6: Yield sensitivity matrix, maize, farm 26</w:t>
      </w:r>
      <w:bookmarkEnd w:id="116"/>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Yield scenario</w:t>
            </w:r>
          </w:p>
        </w:tc>
        <w:tc>
          <w:tcPr>
            <w:tcW w:w="2126" w:type="dxa"/>
            <w:vAlign w:val="center"/>
          </w:tcPr>
          <w:p w:rsidR="009C29EC" w:rsidRDefault="008A0666">
            <w:pPr>
              <w:pStyle w:val="TableCell"/>
            </w:pPr>
            <w:r>
              <w:rPr>
                <w:b/>
                <w:bCs/>
                <w:sz w:val="22"/>
              </w:rPr>
              <w:t>Marketable mass</w:t>
            </w:r>
          </w:p>
        </w:tc>
        <w:tc>
          <w:tcPr>
            <w:tcW w:w="2126" w:type="dxa"/>
            <w:vAlign w:val="center"/>
          </w:tcPr>
          <w:p w:rsidR="009C29EC" w:rsidRDefault="008A0666">
            <w:pPr>
              <w:pStyle w:val="TableCell"/>
            </w:pPr>
            <w:r>
              <w:rPr>
                <w:b/>
                <w:bCs/>
                <w:sz w:val="22"/>
              </w:rPr>
              <w:t>Break-even price, cash</w:t>
            </w:r>
          </w:p>
        </w:tc>
        <w:tc>
          <w:tcPr>
            <w:tcW w:w="2126" w:type="dxa"/>
            <w:vAlign w:val="center"/>
          </w:tcPr>
          <w:p w:rsidR="009C29EC" w:rsidRDefault="008A0666">
            <w:pPr>
              <w:pStyle w:val="TableCell"/>
            </w:pPr>
            <w:r>
              <w:rPr>
                <w:b/>
                <w:bCs/>
                <w:sz w:val="22"/>
              </w:rPr>
              <w:t>Break-even price, total</w:t>
            </w:r>
          </w:p>
        </w:tc>
      </w:tr>
      <w:tr w:rsidR="009C29EC">
        <w:trPr>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7" w:name="_Toc238621447"/>
      <w:r>
        <w:rPr>
          <w:szCs w:val="24"/>
        </w:rPr>
        <w:t>4.5.1 Verification by designed fixture</w:t>
      </w:r>
      <w:bookmarkEnd w:id="117"/>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exp(−k·tⁿ), is linearised by the double logarithm ln(−ln MR) = ln k + n·ln t and its parameters recovered by least-squares regression on that transform. A moisture-ratio series generated from an initial moisture content of 30.0% wet </w:t>
      </w:r>
      <w:r>
        <w:rPr>
          <w:szCs w:val="24"/>
        </w:rPr>
        <w:lastRenderedPageBreak/>
        <w:t>basis with known parameters k = 0.30 and n = 0.75 is recovered to those values within a relative tolerance of 1×10⁻⁴, which establishes that the linearisation,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unrecognised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8" w:name="_Toc238621448"/>
      <w:r>
        <w:rPr>
          <w:szCs w:val="24"/>
        </w:rPr>
        <w:t>4.5.2 The seeded drying run in full</w:t>
      </w:r>
      <w:bookmarkEnd w:id="118"/>
    </w:p>
    <w:p w:rsidR="009C29EC" w:rsidRDefault="009C29EC">
      <w:pPr>
        <w:pStyle w:val="BodyPara"/>
        <w:spacing w:after="120" w:line="240" w:lineRule="auto"/>
      </w:pPr>
    </w:p>
    <w:p w:rsidR="009C29EC" w:rsidRDefault="008A0666">
      <w:pPr>
        <w:pStyle w:val="TableCaption"/>
      </w:pPr>
      <w:bookmarkStart w:id="119" w:name="_Toc238621508"/>
      <w:r>
        <w:rPr>
          <w:szCs w:val="24"/>
        </w:rPr>
        <w:lastRenderedPageBreak/>
        <w:t>Table 4.7: Per-crop drying summary, farm 26</w:t>
      </w:r>
      <w:bookmarkEnd w:id="119"/>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tblHeader/>
          <w:jc w:val="center"/>
        </w:trPr>
        <w:tc>
          <w:tcPr>
            <w:tcW w:w="823" w:type="dxa"/>
            <w:vAlign w:val="center"/>
          </w:tcPr>
          <w:p w:rsidR="009C29EC" w:rsidRDefault="008A0666">
            <w:pPr>
              <w:pStyle w:val="TableCell"/>
            </w:pPr>
            <w:r>
              <w:rPr>
                <w:b/>
                <w:bCs/>
                <w:szCs w:val="20"/>
              </w:rPr>
              <w:t>Crop</w:t>
            </w:r>
          </w:p>
        </w:tc>
        <w:tc>
          <w:tcPr>
            <w:tcW w:w="1099" w:type="dxa"/>
            <w:vAlign w:val="center"/>
          </w:tcPr>
          <w:p w:rsidR="009C29EC" w:rsidRDefault="008A0666">
            <w:pPr>
              <w:pStyle w:val="TableCell"/>
            </w:pPr>
            <w:r>
              <w:rPr>
                <w:b/>
                <w:bCs/>
                <w:szCs w:val="20"/>
              </w:rPr>
              <w:t>Runs</w:t>
            </w:r>
          </w:p>
        </w:tc>
        <w:tc>
          <w:tcPr>
            <w:tcW w:w="1097" w:type="dxa"/>
            <w:vAlign w:val="center"/>
          </w:tcPr>
          <w:p w:rsidR="009C29EC" w:rsidRDefault="008A0666">
            <w:pPr>
              <w:pStyle w:val="TableCell"/>
            </w:pPr>
            <w:r>
              <w:rPr>
                <w:b/>
                <w:bCs/>
                <w:szCs w:val="20"/>
              </w:rPr>
              <w:t>Mass in</w:t>
            </w:r>
          </w:p>
        </w:tc>
        <w:tc>
          <w:tcPr>
            <w:tcW w:w="1097" w:type="dxa"/>
            <w:vAlign w:val="center"/>
          </w:tcPr>
          <w:p w:rsidR="009C29EC" w:rsidRDefault="008A0666">
            <w:pPr>
              <w:pStyle w:val="TableCell"/>
            </w:pPr>
            <w:r>
              <w:rPr>
                <w:b/>
                <w:bCs/>
                <w:szCs w:val="20"/>
              </w:rPr>
              <w:t>Marketable mass</w:t>
            </w:r>
          </w:p>
        </w:tc>
        <w:tc>
          <w:tcPr>
            <w:tcW w:w="1097" w:type="dxa"/>
            <w:vAlign w:val="center"/>
          </w:tcPr>
          <w:p w:rsidR="009C29EC" w:rsidRDefault="008A0666">
            <w:pPr>
              <w:pStyle w:val="TableCell"/>
            </w:pPr>
            <w:r>
              <w:rPr>
                <w:b/>
                <w:bCs/>
                <w:szCs w:val="20"/>
              </w:rPr>
              <w:t>Water removed</w:t>
            </w:r>
          </w:p>
        </w:tc>
        <w:tc>
          <w:tcPr>
            <w:tcW w:w="1097" w:type="dxa"/>
            <w:vAlign w:val="center"/>
          </w:tcPr>
          <w:p w:rsidR="009C29EC" w:rsidRDefault="008A0666">
            <w:pPr>
              <w:pStyle w:val="TableCell"/>
            </w:pPr>
            <w:r>
              <w:rPr>
                <w:b/>
                <w:bCs/>
                <w:szCs w:val="20"/>
              </w:rPr>
              <w:t>Mean drying rate</w:t>
            </w:r>
          </w:p>
        </w:tc>
        <w:tc>
          <w:tcPr>
            <w:tcW w:w="1097" w:type="dxa"/>
            <w:vAlign w:val="center"/>
          </w:tcPr>
          <w:p w:rsidR="009C29EC" w:rsidRDefault="008A0666">
            <w:pPr>
              <w:pStyle w:val="TableCell"/>
            </w:pPr>
            <w:r>
              <w:rPr>
                <w:b/>
                <w:bCs/>
                <w:szCs w:val="20"/>
              </w:rPr>
              <w:t>Mean Newton k (solar dryer)</w:t>
            </w:r>
          </w:p>
        </w:tc>
        <w:tc>
          <w:tcPr>
            <w:tcW w:w="1097" w:type="dxa"/>
            <w:vAlign w:val="center"/>
          </w:tcPr>
          <w:p w:rsidR="009C29EC" w:rsidRDefault="008A0666">
            <w:pPr>
              <w:pStyle w:val="TableCell"/>
            </w:pPr>
            <w:r>
              <w:rPr>
                <w:b/>
                <w:bCs/>
                <w:szCs w:val="20"/>
              </w:rPr>
              <w:t>Safe-storage share</w:t>
            </w:r>
          </w:p>
        </w:tc>
      </w:tr>
      <w:tr w:rsidR="009C29EC">
        <w:trPr>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its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At the baseline commit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20" w:name="_Toc238621449"/>
      <w:r>
        <w:rPr>
          <w:szCs w:val="24"/>
        </w:rPr>
        <w:t>4.5.3 Input validation</w:t>
      </w:r>
      <w:bookmarkEnd w:id="120"/>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1" w:name="_Toc238621450"/>
      <w:r>
        <w:rPr>
          <w:szCs w:val="24"/>
        </w:rPr>
        <w:t>4.5.4 Coupling to the financial ledger</w:t>
      </w:r>
      <w:bookmarkEnd w:id="121"/>
    </w:p>
    <w:p w:rsidR="009C29EC" w:rsidRDefault="008A0666">
      <w:pPr>
        <w:pStyle w:val="BodyPara"/>
      </w:pPr>
      <w:r>
        <w:rPr>
          <w:szCs w:val="24"/>
        </w:rPr>
        <w:t>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fertiliser application, and its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Objective (ii) requires that mechanisation and equipment expenditure be captured within the same ledger as the operational record, and costed there. The enterprise-economics layer extends the deterministic tier from margin accounting to cost-behaviour analysis. All figures are live responses from farm 26 at the baseline commit.</w:t>
      </w:r>
    </w:p>
    <w:p w:rsidR="009C29EC" w:rsidRDefault="008A0666">
      <w:pPr>
        <w:pStyle w:val="H3"/>
      </w:pPr>
      <w:bookmarkStart w:id="122" w:name="_Toc238621441"/>
      <w:r>
        <w:rPr>
          <w:szCs w:val="24"/>
        </w:rPr>
        <w:t>4.6.1 Cost structure and classification coverage</w:t>
      </w:r>
      <w:bookmarkEnd w:id="122"/>
    </w:p>
    <w:p w:rsidR="009C29EC" w:rsidRDefault="008A0666">
      <w:pPr>
        <w:pStyle w:val="TableCaption"/>
      </w:pPr>
      <w:bookmarkStart w:id="123" w:name="_Toc238621503"/>
      <w:r>
        <w:rPr>
          <w:szCs w:val="24"/>
        </w:rPr>
        <w:t>Table 4.8: Cost structure, farm 26</w:t>
      </w:r>
      <w:bookmarkEnd w:id="12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Bucket</w:t>
            </w:r>
          </w:p>
        </w:tc>
        <w:tc>
          <w:tcPr>
            <w:tcW w:w="2835" w:type="dxa"/>
            <w:vAlign w:val="center"/>
          </w:tcPr>
          <w:p w:rsidR="009C29EC" w:rsidRDefault="008A0666">
            <w:pPr>
              <w:pStyle w:val="TableCell"/>
            </w:pPr>
            <w:r>
              <w:rPr>
                <w:b/>
                <w:bCs/>
                <w:sz w:val="22"/>
              </w:rPr>
              <w:t>Maize (₦)</w:t>
            </w:r>
          </w:p>
        </w:tc>
        <w:tc>
          <w:tcPr>
            <w:tcW w:w="2835" w:type="dxa"/>
            <w:vAlign w:val="center"/>
          </w:tcPr>
          <w:p w:rsidR="009C29EC" w:rsidRDefault="008A0666">
            <w:pPr>
              <w:pStyle w:val="TableCell"/>
            </w:pPr>
            <w:r>
              <w:rPr>
                <w:b/>
                <w:bCs/>
                <w:sz w:val="22"/>
              </w:rPr>
              <w:t>Whole farm (₦)</w:t>
            </w:r>
          </w:p>
        </w:tc>
      </w:tr>
      <w:tr w:rsidR="009C29EC">
        <w:trPr>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mechanisation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Figure 4.6: Farm level cost structure: 88.3% of ₦598,450 recorded cost classified by cost behaviour, with an operating expense ratio of 68.4%</w:t>
      </w:r>
    </w:p>
    <w:p w:rsidR="009C29EC" w:rsidRDefault="008A0666">
      <w:pPr>
        <w:pStyle w:val="H3"/>
      </w:pPr>
      <w:bookmarkStart w:id="124" w:name="_Toc238621442"/>
      <w:r>
        <w:rPr>
          <w:szCs w:val="24"/>
        </w:rPr>
        <w:t>4.6.2 The depreciation overlay and fixed-cost allocation</w:t>
      </w:r>
      <w:bookmarkEnd w:id="124"/>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recomputable, in the same way as every other derived figure on the platform.</w:t>
      </w:r>
    </w:p>
    <w:p w:rsidR="009C29EC" w:rsidRDefault="008A0666">
      <w:pPr>
        <w:pStyle w:val="TableCaption"/>
      </w:pPr>
      <w:bookmarkStart w:id="125" w:name="_Toc238621504"/>
      <w:r>
        <w:rPr>
          <w:szCs w:val="24"/>
        </w:rPr>
        <w:t>Table 4.9: Derived fixed-cost overlay, farm 26</w:t>
      </w:r>
      <w:bookmarkEnd w:id="12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Quantity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at the baseline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6" w:name="_Toc238621444"/>
      <w:r>
        <w:rPr>
          <w:szCs w:val="24"/>
        </w:rPr>
        <w:t>4.6.3 Partial budget and implementation parity</w:t>
      </w:r>
      <w:bookmarkEnd w:id="126"/>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4.8: Profit and loss by activity category, with mechanisation the largest single cost at ₦215,550</w:t>
      </w:r>
    </w:p>
    <w:p w:rsidR="009C29EC" w:rsidRDefault="008A0666">
      <w:pPr>
        <w:pStyle w:val="H3"/>
      </w:pPr>
      <w:bookmarkStart w:id="127" w:name="_Toc238621445"/>
      <w:r>
        <w:rPr>
          <w:szCs w:val="24"/>
        </w:rPr>
        <w:t>4.6.4 Yield baseline</w:t>
      </w:r>
      <w:bookmarkEnd w:id="127"/>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no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lastRenderedPageBreak/>
        <w:t>computed, verified, served and invisible; that finding is withdrawn, and all six enterprise-economics endpoints are reachable in the interface at the baseline commit. Two findings carried by earlier drafts of Table A.1 of Appendix A have been withdrawn: the Olympic-average yield baseline and the entry form’s crop list were both reported as implemented-but-unreachable, and both are reachable at the baseline commit.</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parameterised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w:t>
      </w:r>
      <w:r>
        <w:rPr>
          <w:szCs w:val="24"/>
        </w:rPr>
        <w:lastRenderedPageBreak/>
        <w:t>seed are all fixed; the generated dataset carries the recorded SHA-256 fingerprint given 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dataframe library. The earlier claim that regenerating the model would produce different figures was wrong, and it understated the rigour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The second is that the tier cannot be compared against the platform’s own deterministic baseline, and the reason is structural. The Olympic-average baseline is an absolute mass per season, expressed in the unit the yield was logged in; the forecast target is an intensity, tonnes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The third is coverage. The model’s crop vocabulary is maize, rice, sorghum, soybean and cassava. Cowpea and tomato are absent, and because crop is one-hot encoded they are not inaccurate inputs but unrepresentable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t xml:space="preserve">What the platform does do with these figures is report them honestly in the interface. Three display states are distinguished: metrics unavailable while loading; an explicit </w:t>
      </w:r>
      <w:r>
        <w:rPr>
          <w:szCs w:val="24"/>
        </w:rPr>
        <w:lastRenderedPageBreak/>
        <w:t>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8" w:name="_Toc238621423"/>
      <w:r>
        <w:rPr>
          <w:szCs w:val="24"/>
        </w:rPr>
        <w:t>4.8.1 Deployed components</w:t>
      </w:r>
      <w:bookmarkEnd w:id="128"/>
    </w:p>
    <w:p w:rsidR="009C29EC" w:rsidRDefault="008A0666">
      <w:pPr>
        <w:pStyle w:val="BodyPara"/>
      </w:pPr>
      <w:r>
        <w:rPr>
          <w:szCs w:val="24"/>
        </w:rPr>
        <w:t>AGRI-PROFIT is a working end-to-end application rather than a prototype or a mockup. It runs as a three-container Docker composition: a FastAPI backend service, a PostgreSQL 15 database whose schema is managed by Alembic migrations, and a static server for the built Progressive Web Application. The backend is organised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organised by feature — farm records, decision support, dashboard, authentication and investor sharing — over a library layer providing the local database, the synchronisation queue, queue ownership, authentication token handling and the read cache, with a Workbox service worker and precache.</w:t>
      </w:r>
    </w:p>
    <w:p w:rsidR="009C29EC" w:rsidRDefault="008A0666">
      <w:pPr>
        <w:pStyle w:val="BodyPara"/>
      </w:pPr>
      <w:r>
        <w:rPr>
          <w:szCs w:val="24"/>
        </w:rPr>
        <w:lastRenderedPageBreak/>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At the baseline commit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9" w:name="_Toc238621424"/>
      <w:r>
        <w:rPr>
          <w:szCs w:val="24"/>
        </w:rPr>
        <w:t>4.8.2 Functional inventory</w:t>
      </w:r>
      <w:bookmarkEnd w:id="129"/>
    </w:p>
    <w:p w:rsidR="009C29EC" w:rsidRDefault="009C29EC">
      <w:pPr>
        <w:pStyle w:val="BodyPara"/>
        <w:spacing w:after="120" w:line="240" w:lineRule="auto"/>
      </w:pPr>
    </w:p>
    <w:p w:rsidR="009C29EC" w:rsidRDefault="008A0666">
      <w:pPr>
        <w:pStyle w:val="BodyPara"/>
      </w:pPr>
      <w:r>
        <w:rPr>
          <w:szCs w:val="24"/>
        </w:rPr>
        <w:t xml:space="preserve">Two entries in that inventory bound what the thesis may claim. The first records that per-operation equipment attribution is captured but costed nowhere, so no machine-hour </w:t>
      </w:r>
      <w:r>
        <w:rPr>
          <w:szCs w:val="24"/>
        </w:rPr>
        <w:lastRenderedPageBreak/>
        <w:t>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lastRenderedPageBreak/>
        <w:t>Figure 4.12: Recording a mechanisation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4.13: Record list filtered to mechanisation activities</w:t>
      </w:r>
    </w:p>
    <w:p w:rsidR="009C29EC" w:rsidRDefault="008A0666">
      <w:pPr>
        <w:pStyle w:val="H3"/>
      </w:pPr>
      <w:bookmarkStart w:id="130" w:name="_Toc238621432"/>
      <w:r>
        <w:rPr>
          <w:szCs w:val="24"/>
        </w:rPr>
        <w:t>4.8.3 Components verified visually only</w:t>
      </w:r>
      <w:bookmarkEnd w:id="130"/>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1" w:name="_Toc238621433"/>
      <w:r>
        <w:rPr>
          <w:szCs w:val="24"/>
        </w:rPr>
        <w:lastRenderedPageBreak/>
        <w:t>4.8.4 Live system verification</w:t>
      </w:r>
      <w:bookmarkEnd w:id="131"/>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t>4.9 System Verification</w:t>
      </w:r>
    </w:p>
    <w:p w:rsidR="009C29EC" w:rsidRDefault="008A0666">
      <w:pPr>
        <w:pStyle w:val="BodyPara"/>
      </w:pPr>
      <w:r>
        <w:rPr>
          <w:szCs w:val="24"/>
        </w:rPr>
        <w:t>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FastAPI application through its test client with a real database session, and the frontend cases exercise the shipped modules, including a genuine IndexedDB implementation.</w:t>
      </w:r>
    </w:p>
    <w:p w:rsidR="009C29EC" w:rsidRDefault="008A0666">
      <w:pPr>
        <w:pStyle w:val="BodyPara"/>
      </w:pPr>
      <w:r>
        <w:rPr>
          <w:szCs w:val="24"/>
        </w:rPr>
        <w:t xml:space="preserve">The behaviours reported in this chapter are those on which the design argument of Chapter Three depends. Each is asserted by at least one named passing test. For the </w:t>
      </w:r>
      <w:r>
        <w:rPr>
          <w:szCs w:val="24"/>
        </w:rPr>
        <w:lastRenderedPageBreak/>
        <w:t>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A drying model can only be shown to be correct by recovering parameters known in advance, so the module is verified by hand-calculated fixture rather than by 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Between the first and second navigation of the same flow, on an identical 0.4 Mbps simulated link, first paint fell from 5,661.2 ms to 70.6 ms — a factor of eighty — and network transfer fell from 139,245 bytes over eight requests to 127 bytes over seven.</w:t>
      </w:r>
    </w:p>
    <w:p w:rsidR="009C29EC" w:rsidRDefault="008A0666">
      <w:pPr>
        <w:pStyle w:val="BodyPara"/>
      </w:pPr>
      <w:r>
        <w:rPr>
          <w:szCs w:val="24"/>
        </w:rPr>
        <w:lastRenderedPageBreak/>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9C29EC">
      <w:pPr>
        <w:pStyle w:val="BodyPara"/>
        <w:spacing w:after="120" w:line="240" w:lineRule="auto"/>
      </w:pPr>
    </w:p>
    <w:p w:rsidR="009C29EC" w:rsidRDefault="009C29EC">
      <w:pPr>
        <w:pStyle w:val="BodyPara"/>
        <w:spacing w:after="120" w:line="240" w:lineRule="auto"/>
      </w:pPr>
    </w:p>
    <w:p w:rsidR="009C29EC" w:rsidRDefault="009C29EC">
      <w:pPr>
        <w:pStyle w:val="BodyPara"/>
        <w:spacing w:after="120" w:line="240" w:lineRule="auto"/>
      </w:pP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at the baseline commit,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w:t>
      </w:r>
      <w:r>
        <w:lastRenderedPageBreak/>
        <w:t>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for the baseline commit: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w:t>
      </w:r>
      <w:r>
        <w:rPr>
          <w:szCs w:val="24"/>
        </w:rPr>
        <w:lastRenderedPageBreak/>
        <w:t>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2" w:name="_Toc238621514"/>
      <w:r>
        <w:rPr>
          <w:szCs w:val="24"/>
        </w:rPr>
        <w:t>Table 4.10: Usability evaluation — to be completed from retained instruments</w:t>
      </w:r>
      <w:bookmarkEnd w:id="132"/>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Measure</w:t>
            </w:r>
          </w:p>
        </w:tc>
        <w:tc>
          <w:tcPr>
            <w:tcW w:w="1701" w:type="dxa"/>
            <w:vAlign w:val="center"/>
          </w:tcPr>
          <w:p w:rsidR="009C29EC" w:rsidRDefault="008A0666">
            <w:pPr>
              <w:pStyle w:val="TableCell"/>
            </w:pPr>
            <w:r>
              <w:rPr>
                <w:b/>
                <w:bCs/>
                <w:szCs w:val="20"/>
              </w:rPr>
              <w:t>Evaluator 1</w:t>
            </w:r>
          </w:p>
        </w:tc>
        <w:tc>
          <w:tcPr>
            <w:tcW w:w="1701" w:type="dxa"/>
            <w:vAlign w:val="center"/>
          </w:tcPr>
          <w:p w:rsidR="009C29EC" w:rsidRDefault="008A0666">
            <w:pPr>
              <w:pStyle w:val="TableCell"/>
            </w:pPr>
            <w:r>
              <w:rPr>
                <w:b/>
                <w:bCs/>
                <w:szCs w:val="20"/>
              </w:rPr>
              <w:t>Evaluator 2</w:t>
            </w:r>
          </w:p>
        </w:tc>
        <w:tc>
          <w:tcPr>
            <w:tcW w:w="1701" w:type="dxa"/>
            <w:vAlign w:val="center"/>
          </w:tcPr>
          <w:p w:rsidR="009C29EC" w:rsidRDefault="008A0666">
            <w:pPr>
              <w:pStyle w:val="TableCell"/>
            </w:pPr>
            <w:r>
              <w:rPr>
                <w:b/>
                <w:bCs/>
                <w:szCs w:val="20"/>
              </w:rPr>
              <w:t>Evaluator 3</w:t>
            </w:r>
          </w:p>
        </w:tc>
        <w:tc>
          <w:tcPr>
            <w:tcW w:w="1701" w:type="dxa"/>
            <w:vAlign w:val="center"/>
          </w:tcPr>
          <w:p w:rsidR="009C29EC" w:rsidRDefault="008A0666">
            <w:pPr>
              <w:pStyle w:val="TableCell"/>
            </w:pPr>
            <w:r>
              <w:rPr>
                <w:b/>
                <w:bCs/>
                <w:szCs w:val="20"/>
              </w:rPr>
              <w:t>Panel</w:t>
            </w:r>
          </w:p>
        </w:tc>
      </w:tr>
      <w:tr w:rsidR="009C29EC">
        <w:trPr>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deduplicate,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 xml:space="preserve">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w:t>
      </w:r>
      <w:r>
        <w:rPr>
          <w:szCs w:val="24"/>
        </w:rPr>
        <w:lastRenderedPageBreak/>
        <w:t>questionnaire must be completed without the author present, because a self-report instrument administered under the author’s observation is systematically inflated.</w:t>
      </w:r>
    </w:p>
    <w:p w:rsidR="009C29EC" w:rsidRDefault="008A0666">
      <w:pPr>
        <w:pStyle w:val="TableCaption"/>
      </w:pPr>
      <w:bookmarkStart w:id="133" w:name="_Toc238621515"/>
      <w:r>
        <w:rPr>
          <w:szCs w:val="24"/>
        </w:rPr>
        <w:t>Table 4.11: Usability issue log — to be completed</w:t>
      </w:r>
      <w:bookmarkEnd w:id="13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w:t>
            </w:r>
          </w:p>
        </w:tc>
        <w:tc>
          <w:tcPr>
            <w:tcW w:w="1701" w:type="dxa"/>
            <w:vAlign w:val="center"/>
          </w:tcPr>
          <w:p w:rsidR="009C29EC" w:rsidRDefault="008A0666">
            <w:pPr>
              <w:pStyle w:val="TableCell"/>
            </w:pPr>
            <w:r>
              <w:rPr>
                <w:b/>
                <w:bCs/>
                <w:szCs w:val="20"/>
              </w:rPr>
              <w:t>Finding</w:t>
            </w:r>
          </w:p>
        </w:tc>
        <w:tc>
          <w:tcPr>
            <w:tcW w:w="1701" w:type="dxa"/>
            <w:vAlign w:val="center"/>
          </w:tcPr>
          <w:p w:rsidR="009C29EC" w:rsidRDefault="008A0666">
            <w:pPr>
              <w:pStyle w:val="TableCell"/>
            </w:pPr>
            <w:r>
              <w:rPr>
                <w:b/>
                <w:bCs/>
                <w:szCs w:val="20"/>
              </w:rPr>
              <w:t>Source</w:t>
            </w:r>
          </w:p>
        </w:tc>
        <w:tc>
          <w:tcPr>
            <w:tcW w:w="1701" w:type="dxa"/>
            <w:vAlign w:val="center"/>
          </w:tcPr>
          <w:p w:rsidR="009C29EC" w:rsidRDefault="008A0666">
            <w:pPr>
              <w:pStyle w:val="TableCell"/>
            </w:pPr>
            <w:r>
              <w:rPr>
                <w:b/>
                <w:bCs/>
                <w:szCs w:val="20"/>
              </w:rPr>
              <w:t>Severity</w:t>
            </w:r>
          </w:p>
        </w:tc>
        <w:tc>
          <w:tcPr>
            <w:tcW w:w="1701" w:type="dxa"/>
            <w:vAlign w:val="center"/>
          </w:tcPr>
          <w:p w:rsidR="009C29EC" w:rsidRDefault="008A0666">
            <w:pPr>
              <w:pStyle w:val="TableCell"/>
            </w:pPr>
            <w:r>
              <w:rPr>
                <w:b/>
                <w:bCs/>
                <w:szCs w:val="20"/>
              </w:rPr>
              <w:t>Disposition</w:t>
            </w:r>
          </w:p>
        </w:tc>
      </w:tr>
      <w:tr w:rsidR="009C29EC">
        <w:trPr>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met in Section 4.13, and no claim of a usability finding, a task-completion measurement, a SUS score or a comparison against paper-based practice appears anywhere in this thesis.</w:t>
      </w:r>
    </w:p>
    <w:p w:rsidR="009C29EC" w:rsidRDefault="008A0666">
      <w:pPr>
        <w:pStyle w:val="H2"/>
      </w:pPr>
      <w:r>
        <w:rPr>
          <w:szCs w:val="24"/>
        </w:rPr>
        <w:t>4.13 Results Against the Stated Objectives</w:t>
      </w:r>
    </w:p>
    <w:p w:rsidR="009C29EC" w:rsidRDefault="008A0666">
      <w:pPr>
        <w:pStyle w:val="TableCaption"/>
      </w:pPr>
      <w:bookmarkStart w:id="134" w:name="_Toc238621516"/>
      <w:r>
        <w:rPr>
          <w:szCs w:val="24"/>
        </w:rPr>
        <w:t>Table 4.12: Evidence and residual gap, by objective</w:t>
      </w:r>
      <w:bookmarkEnd w:id="134"/>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Objective</w:t>
            </w:r>
          </w:p>
        </w:tc>
        <w:tc>
          <w:tcPr>
            <w:tcW w:w="2126" w:type="dxa"/>
            <w:vAlign w:val="center"/>
          </w:tcPr>
          <w:p w:rsidR="009C29EC" w:rsidRDefault="008A0666">
            <w:pPr>
              <w:pStyle w:val="TableCell"/>
            </w:pPr>
            <w:r>
              <w:rPr>
                <w:b/>
                <w:bCs/>
                <w:sz w:val="22"/>
              </w:rPr>
              <w:t>What the evidence shows</w:t>
            </w:r>
          </w:p>
        </w:tc>
        <w:tc>
          <w:tcPr>
            <w:tcW w:w="2126" w:type="dxa"/>
            <w:vAlign w:val="center"/>
          </w:tcPr>
          <w:p w:rsidR="009C29EC" w:rsidRDefault="008A0666">
            <w:pPr>
              <w:pStyle w:val="TableCell"/>
            </w:pPr>
            <w:r>
              <w:rPr>
                <w:b/>
                <w:bCs/>
                <w:sz w:val="22"/>
              </w:rPr>
              <w:t>Evidence class</w:t>
            </w:r>
          </w:p>
        </w:tc>
        <w:tc>
          <w:tcPr>
            <w:tcW w:w="2126" w:type="dxa"/>
            <w:vAlign w:val="center"/>
          </w:tcPr>
          <w:p w:rsidR="009C29EC" w:rsidRDefault="008A0666">
            <w:pPr>
              <w:pStyle w:val="TableCell"/>
            </w:pPr>
            <w:r>
              <w:rPr>
                <w:b/>
                <w:bCs/>
                <w:sz w:val="22"/>
              </w:rPr>
              <w:t>Residual gap</w:t>
            </w:r>
          </w:p>
        </w:tc>
      </w:tr>
      <w:tr w:rsidR="009C29EC">
        <w:trPr>
          <w:jc w:val="center"/>
        </w:trPr>
        <w:tc>
          <w:tcPr>
            <w:tcW w:w="2126" w:type="dxa"/>
            <w:vAlign w:val="center"/>
          </w:tcPr>
          <w:p w:rsidR="00605853" w:rsidRDefault="00204124">
            <w:r>
              <w:t>1. Identify and evaluate the socio-technical barriers hindering FMIS adoption in Nigeria</w:t>
            </w:r>
          </w:p>
        </w:tc>
        <w:tc>
          <w:tcPr>
            <w:tcW w:w="2126" w:type="dxa"/>
            <w:vAlign w:val="center"/>
          </w:tcPr>
          <w:p w:rsidR="00605853" w:rsidRDefault="00204124">
            <w:r>
              <w:t xml:space="preserve">The barriers identified in Chapters One and Two — fragmentation, interoperability, complexity, connectivity and cost — were carried into the non-functional requirements of Section 3.3.2 and </w:t>
            </w:r>
            <w:r>
              <w:lastRenderedPageBreak/>
              <w:t>answered by specific implemented mechanisms: the paired write against fragmentation (109 logs, 109 transactions, 0 unpaired), the offline queue and service worker against connectivity, and the fixed-instance cost profile against cost</w:t>
            </w:r>
          </w:p>
        </w:tc>
        <w:tc>
          <w:tcPr>
            <w:tcW w:w="2126" w:type="dxa"/>
            <w:vAlign w:val="center"/>
          </w:tcPr>
          <w:p w:rsidR="00605853" w:rsidRDefault="00204124">
            <w:r>
              <w:lastRenderedPageBreak/>
              <w:t>Implemented; numerical (Sections 4.8, 4.10; Appendices A and C)</w:t>
            </w:r>
          </w:p>
        </w:tc>
        <w:tc>
          <w:tcPr>
            <w:tcW w:w="2126" w:type="dxa"/>
            <w:vAlign w:val="center"/>
          </w:tcPr>
          <w:p w:rsidR="00605853" w:rsidRDefault="00204124">
            <w:r>
              <w:t xml:space="preserve">Partially achieved. The barriers are established from the literature and answered by design; no empirical barrier study with Nigerian farmers was conducted, and none is claimed. The feature-phone channel that would address the rural </w:t>
            </w:r>
            <w:r>
              <w:lastRenderedPageBreak/>
              <w:t>device gap is not implemented in any form</w:t>
            </w:r>
          </w:p>
        </w:tc>
      </w:tr>
      <w:tr w:rsidR="009C29EC">
        <w:trPr>
          <w:jc w:val="center"/>
        </w:trPr>
        <w:tc>
          <w:tcPr>
            <w:tcW w:w="2126" w:type="dxa"/>
            <w:vAlign w:val="center"/>
          </w:tcPr>
          <w:p w:rsidR="00605853" w:rsidRDefault="00204124">
            <w:r>
              <w:lastRenderedPageBreak/>
              <w:t>2. Convert operational and financial records into actionable decision-support metrics</w:t>
            </w:r>
          </w:p>
        </w:tc>
        <w:tc>
          <w:tcPr>
            <w:tcW w:w="2126" w:type="dxa"/>
            <w:vAlign w:val="center"/>
          </w:tcPr>
          <w:p w:rsidR="00605853" w:rsidRDefault="00204124">
            <w:r>
              <w:t xml:space="preserve">Nine deterministic quantities computed from a live ledger and each pinned by named tests; the decision-support and enterprise-economics services </w:t>
            </w:r>
            <w:r>
              <w:lastRenderedPageBreak/>
              <w:t>at 100% statement coverage; all six enterprise endpoints reachable in the interface; two independent partial-budget implementations agreeing on eight hand-computed cases</w:t>
            </w:r>
          </w:p>
        </w:tc>
        <w:tc>
          <w:tcPr>
            <w:tcW w:w="2126" w:type="dxa"/>
            <w:vAlign w:val="center"/>
          </w:tcPr>
          <w:p w:rsidR="00605853" w:rsidRDefault="00204124">
            <w:r>
              <w:lastRenderedPageBreak/>
              <w:t>Automatically verified; numerical (Sections 4.2 to 4.6)</w:t>
            </w:r>
          </w:p>
        </w:tc>
        <w:tc>
          <w:tcPr>
            <w:tcW w:w="2126" w:type="dxa"/>
            <w:vAlign w:val="center"/>
          </w:tcPr>
          <w:p w:rsidR="00605853" w:rsidRDefault="00204124">
            <w:r>
              <w:t xml:space="preserve">Achieved as arithmetic. Demonstrated on one seeded farm rather than a season of real records, so the agronomic relevance of the </w:t>
            </w:r>
            <w:r>
              <w:lastRenderedPageBreak/>
              <w:t>figures is unevaluated. The forecast tier is trained on synthetic data</w:t>
            </w:r>
          </w:p>
        </w:tc>
      </w:tr>
      <w:tr w:rsidR="009C29EC">
        <w:trPr>
          <w:jc w:val="center"/>
        </w:trPr>
        <w:tc>
          <w:tcPr>
            <w:tcW w:w="2126" w:type="dxa"/>
            <w:vAlign w:val="center"/>
          </w:tcPr>
          <w:p w:rsidR="00605853" w:rsidRDefault="00204124">
            <w:r>
              <w:lastRenderedPageBreak/>
              <w:t>3. Design and integrate a secure data-sharing framework to build stakeholder trust</w:t>
            </w:r>
          </w:p>
        </w:tc>
        <w:tc>
          <w:tcPr>
            <w:tcW w:w="2126" w:type="dxa"/>
            <w:vAlign w:val="center"/>
          </w:tcPr>
          <w:p w:rsidR="00605853" w:rsidRDefault="00204124">
            <w:r>
              <w:t xml:space="preserve">Signed-token authentication over hashed credentials; role-based authorisation over 3 roles and 11 permissions with the permission check preceding the scope check; per-farm isolation returning 404; share tokens </w:t>
            </w:r>
            <w:r>
              <w:lastRenderedPageBreak/>
              <w:t>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2126" w:type="dxa"/>
            <w:vAlign w:val="center"/>
          </w:tcPr>
          <w:p w:rsidR="00605853" w:rsidRDefault="00204124">
            <w:r>
              <w:lastRenderedPageBreak/>
              <w:t>Automatically verified and probed live (Section 4.11; Appendix B)</w:t>
            </w:r>
          </w:p>
        </w:tc>
        <w:tc>
          <w:tcPr>
            <w:tcW w:w="2126" w:type="dxa"/>
            <w:vAlign w:val="center"/>
          </w:tcPr>
          <w:p w:rsidR="00605853" w:rsidRDefault="00204124">
            <w:r>
              <w:t xml:space="preserve">Achieved as implementation and internal verification. Not validated in practice: no independent security assessment, penetration test or threat model. No session revocation, refresh, password reset or second </w:t>
            </w:r>
            <w:r>
              <w:lastRenderedPageBreak/>
              <w:t>factor. The ledger is audit-trailed, not cryptographically tamper-evident</w:t>
            </w:r>
          </w:p>
        </w:tc>
      </w:tr>
      <w:tr w:rsidR="009C29EC">
        <w:trPr>
          <w:jc w:val="center"/>
        </w:trPr>
        <w:tc>
          <w:tcPr>
            <w:tcW w:w="2126" w:type="dxa"/>
            <w:vAlign w:val="center"/>
          </w:tcPr>
          <w:p w:rsidR="00605853" w:rsidRDefault="00204124">
            <w:r>
              <w:lastRenderedPageBreak/>
              <w:t>4. Evaluate usability, cost-effectiveness and operational viability under Nigerian constraints</w:t>
            </w:r>
          </w:p>
        </w:tc>
        <w:tc>
          <w:tcPr>
            <w:tcW w:w="2126" w:type="dxa"/>
            <w:vAlign w:val="center"/>
          </w:tcPr>
          <w:p w:rsidR="00605853" w:rsidRDefault="00204124">
            <w:r>
              <w:t xml:space="preserve">Three of four specified strands executed: functional verification (426 collected backend cases, 422 passed, 4 skipped, 0 failed, at </w:t>
            </w:r>
            <w:r>
              <w:t>96% statement coverage,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2126" w:type="dxa"/>
            <w:vAlign w:val="center"/>
          </w:tcPr>
          <w:p w:rsidR="00605853" w:rsidRDefault="00204124">
            <w:r>
              <w:lastRenderedPageBreak/>
              <w:t>Numerical; manually inspected (Sections 4.8 to 4.11)</w:t>
            </w:r>
          </w:p>
        </w:tc>
        <w:tc>
          <w:tcPr>
            <w:tcW w:w="2126" w:type="dxa"/>
            <w:vAlign w:val="center"/>
          </w:tcPr>
          <w:p w:rsidR="00605853" w:rsidRDefault="00204124">
            <w:r>
              <w:t>Partially achieved. The usability strand was specified and not executed (Section 4.12), so no SUS score, heuristic rating or task-</w:t>
            </w:r>
            <w:r>
              <w:lastRenderedPageBreak/>
              <w:t>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jc w:val="center"/>
        </w:trPr>
        <w:tc>
          <w:tcPr>
            <w:tcW w:w="2126" w:type="dxa"/>
          </w:tcPr>
          <w:p w:rsidR="00605853" w:rsidRDefault="00204124">
            <w:r>
              <w:lastRenderedPageBreak/>
              <w:t>5. Model post-harvest drying and couple its output to the financial record</w:t>
            </w:r>
          </w:p>
        </w:tc>
        <w:tc>
          <w:tcPr>
            <w:tcW w:w="2126" w:type="dxa"/>
          </w:tcPr>
          <w:p w:rsidR="00605853" w:rsidRDefault="00204124">
            <w:r>
              <w:t xml:space="preserve">The Page and Newton models recovered from a designed fixture to </w:t>
            </w:r>
            <w:r>
              <w:lastRenderedPageBreak/>
              <w:t>within 1×10⁻⁴; water removed held distinct from process loss by a test that fails if they are ever equated; safe storage returned as an absence rather than a negative verdict for an unrecognised crop; and a maize run of 100 kg at 25% moisture dried to 13% and weighed out at 84 kg moving unit cost of production from ₦35.00 to ₦41.67 per marketable kilogram, computed end to end without manual intervention</w:t>
            </w:r>
          </w:p>
        </w:tc>
        <w:tc>
          <w:tcPr>
            <w:tcW w:w="2126" w:type="dxa"/>
          </w:tcPr>
          <w:p w:rsidR="00605853" w:rsidRDefault="00204124">
            <w:r>
              <w:lastRenderedPageBreak/>
              <w:t>Automatically verified; numerical (Section 4.5)</w:t>
            </w:r>
          </w:p>
        </w:tc>
        <w:tc>
          <w:tcPr>
            <w:tcW w:w="2126" w:type="dxa"/>
          </w:tcPr>
          <w:p w:rsidR="00605853" w:rsidRDefault="00204124">
            <w:r>
              <w:t xml:space="preserve">Achieved as a demonstrated computation on seeded runs. No </w:t>
            </w:r>
            <w:r>
              <w:lastRenderedPageBreak/>
              <w:t>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lastRenderedPageBreak/>
        <w:t>4.14 Limitations</w:t>
      </w:r>
    </w:p>
    <w:p w:rsidR="009C29EC" w:rsidRDefault="008A0666">
      <w:pPr>
        <w:pStyle w:val="BodyPara"/>
      </w:pPr>
      <w:r>
        <w:rPr>
          <w:szCs w:val="24"/>
        </w:rPr>
        <w:t>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authorisation do not exist.</w:t>
      </w:r>
    </w:p>
    <w:p w:rsidR="009C29EC" w:rsidRPr="004F5D51" w:rsidRDefault="008A0666">
      <w:pPr>
        <w:pStyle w:val="BodyPara"/>
      </w:pPr>
      <w:r w:rsidRPr="004F5D51">
        <w:rPr>
          <w:bCs/>
          <w:szCs w:val="24"/>
        </w:rPr>
        <w:t>Verification gaps — evaluation limitations. There are no component tests for the page and form layer, including the drying-curve chart. The local-database migration is proven against an in-memory IndexedDB implementation rather than a real browser, so browser-specific storage eviction, quota behaviour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 for the baseline commit.</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mechanisation logs. Two components of the hosting </w:t>
      </w:r>
      <w:r w:rsidRPr="004F5D51">
        <w:rPr>
          <w:bCs/>
          <w:szCs w:val="24"/>
        </w:rPr>
        <w:lastRenderedPageBreak/>
        <w:t>footprint — the static server and the container runtime — were not sampled at all, so the total is part-measured and part-assumed.</w:t>
      </w:r>
    </w:p>
    <w:p w:rsidR="009C29EC" w:rsidRPr="004F5D51" w:rsidRDefault="008A0666">
      <w:pPr>
        <w:pStyle w:val="BodyPara"/>
      </w:pPr>
      <w:r w:rsidRPr="004F5D51">
        <w:rPr>
          <w:bCs/>
          <w:szCs w:val="24"/>
        </w:rPr>
        <w:t>Documentation gaps. Two citations that were outstanding in the implementation are now resolved and are attributed in Chapter Two: the cost-behaviour taxonomy to the enterprise-budgeting literature of agricultural economics (Kay et al., 2016), and the safe-storage moisture ceilings to post-harvest handling guidance (FAO, n.d.; Baidhe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5" w:name="_Toc238621422"/>
      <w:r>
        <w:rPr>
          <w:szCs w:val="24"/>
        </w:rPr>
        <w:t>4.15 Summary</w:t>
      </w:r>
      <w:bookmarkEnd w:id="135"/>
    </w:p>
    <w:p w:rsidR="009C29EC" w:rsidRDefault="008A0666">
      <w:pPr>
        <w:pStyle w:val="BodyPara"/>
      </w:pPr>
      <w:r>
        <w:rPr>
          <w:szCs w:val="24"/>
        </w:rPr>
        <w:t>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idempotency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 xml:space="preserve">The deterministic decision-support layer computes per-crop margin and ranking, unit cost on both a harvest and a marketable basis, retrospective break-even yield, both break-even prices, a sensitivity matrix, an operating-expense ratio, an Olympic-average yield baseline and a partial budget from a live ledger, netting reversed pairs at farm </w:t>
      </w:r>
      <w:r>
        <w:rPr>
          <w:szCs w:val="24"/>
        </w:rPr>
        <w:lastRenderedPageBreak/>
        <w:t>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recovers known thin-layer parameters — k = 0.30 and n = 0.75 — to within one part in ten thousand, keeps water removed distinct from matter lost, and connects a moisture measurement to a price per marketable kilogram in a single computed chain, moving maize from ₦35.00 to ₦41.67 per kilogram, a 19% difference that is post-harvest mass reduction expressed in money.</w:t>
      </w:r>
    </w:p>
    <w:p w:rsidR="009C29EC" w:rsidRDefault="008A0666">
      <w:pPr>
        <w:pStyle w:val="BodyPara"/>
      </w:pPr>
      <w:r>
        <w:rPr>
          <w:szCs w:val="24"/>
        </w:rPr>
        <w:t>Under simulated throttling,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ms to 70.6 ms, though time to main content improves by a factor of about three and a half, and that is the figure a user experiences. Measured resource consumption places the two exercised containers at 178.9 to 202.8 MiB,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 xml:space="preserve">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are throttled; the migration chain runs and rolls back against real PostgreSQL; and a backup was taken and restored with every row count matching and the paired-write </w:t>
      </w:r>
      <w:r>
        <w:rPr>
          <w:szCs w:val="24"/>
        </w:rPr>
        <w:lastRenderedPageBreak/>
        <w:t>invariant intact. Against all of that, the yield forecast is an in-distribution resu</w:t>
      </w:r>
      <w:r w:rsidR="004F5D51">
        <w:rPr>
          <w:szCs w:val="24"/>
        </w:rPr>
        <w:t xml:space="preserve">lt on synthetic data, </w:t>
      </w:r>
      <w:r>
        <w:rPr>
          <w:szCs w:val="24"/>
        </w:rPr>
        <w:t>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partly met.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6" w:name="_Toc238621466"/>
      <w:r>
        <w:rPr>
          <w:szCs w:val="28"/>
        </w:rPr>
        <w:lastRenderedPageBreak/>
        <w:t>CHAPTER FIVE</w:t>
      </w:r>
      <w:bookmarkEnd w:id="136"/>
    </w:p>
    <w:p w:rsidR="009C29EC" w:rsidRDefault="00C07D64">
      <w:pPr>
        <w:pStyle w:val="ChapterTitle"/>
      </w:pPr>
      <w:bookmarkStart w:id="137" w:name="_Toc238621467"/>
      <w:r>
        <w:rPr>
          <w:szCs w:val="28"/>
        </w:rPr>
        <w:t>5.0 SUMMARY</w:t>
      </w:r>
      <w:r w:rsidR="008A0666">
        <w:rPr>
          <w:szCs w:val="28"/>
        </w:rPr>
        <w:t>, CONCLUSION AND RECOMMENDATIONS</w:t>
      </w:r>
      <w:bookmarkEnd w:id="137"/>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The approach was to remove the separation rather than to manage it. Where an integrative design synchronises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lastRenderedPageBreak/>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All evidence in this work is measured at</w:t>
      </w:r>
      <w:r w:rsidR="00C07D64">
        <w:t xml:space="preserve"> a single implementation state: </w:t>
      </w:r>
      <w:r>
        <w:t>commit 8a29ee0aeed4d00b4caf9e58854821e80b6d403d on the main branch, dated 31 August 2026, referred to as the baseline commit. Where a measurement was taken at an earlier commit it is attributed at the point of use.</w:t>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tform would help a real farmer,</w:t>
      </w:r>
      <w:r>
        <w:t xml:space="preserve"> that is stated as a limit on the work rather than bridged by argument.</w:t>
      </w:r>
    </w:p>
    <w:p w:rsidR="009C29EC" w:rsidRDefault="008A0666">
      <w:pPr>
        <w:pStyle w:val="H3"/>
      </w:pPr>
      <w:r>
        <w:t>5.1.2 Summary of Findings</w:t>
      </w:r>
    </w:p>
    <w:p w:rsidR="009C29EC" w:rsidRDefault="008A0666">
      <w:pPr>
        <w:pStyle w:val="BodyPara"/>
      </w:pPr>
      <w:r>
        <w:t>The evaluation returned findings in seven areas.</w:t>
      </w:r>
    </w:p>
    <w:p w:rsidR="009C29EC" w:rsidRDefault="008A0666">
      <w:pPr>
        <w:pStyle w:val="BodyPara"/>
      </w:pPr>
      <w:r>
        <w:lastRenderedPageBreak/>
        <w:t>Structural integrity of the record. At the baseline commit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t xml:space="preserve">Forecasting. A 200-estimator Random Forest over 6,000 synthetic samples returned R² 0.9762, MAE 0.2414 t/ha and RMSE 0.4883 t/ha, reproducible to six decimal places across two Python versions from a dataset carrying a recorded SHA-256 fingerprint. </w:t>
      </w:r>
      <w:r>
        <w:lastRenderedPageBreak/>
        <w:t>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Two exercised containers consume 178.9 to 202.8 MiB, supporting an estimated $15.40, approximately ₦20,950, per month and a reasoned ₦105 per farm per month at a two-hundred-farm tenancy.</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(Poppe et al., 2023; Fountas et al., 2015). Most r</w:t>
      </w:r>
      <w:r w:rsidR="00B222E3">
        <w:t>esponses to it are integrative,</w:t>
      </w:r>
      <w:r>
        <w:t xml:space="preserve"> two systems and a synchronisation path between them. AGRI-PROFIT’s response is different in kind: there is only one write, and it posts both records in a single commit, so the two cannot drift because they were never separate. The finding that makes this more than an assertion is arithmetic. At the baseline commit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bioresources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r w:rsidR="00B222E3">
        <w:t>its</w:t>
      </w:r>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[AUTHOR: bridge needed]</w:t>
      </w:r>
    </w:p>
    <w:p w:rsidR="009C29EC" w:rsidRDefault="008A0666">
      <w:pPr>
        <w:pStyle w:val="BodyPara"/>
      </w:pPr>
      <w:r>
        <w:t xml:space="preserve">On the modelling ladder. </w:t>
      </w:r>
      <w:r w:rsidR="00F455C0">
        <w:t>Van Klompenburg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Klompenburg et al. establish. The counter-case is recorded rather than suppressed: Olisah et al. (2024), working on Nigerian corn-yield prediction for smallholder decision support, report that a carefully tuned deep neural network regressor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Onwude et al. (2016); nothing in the </w:t>
      </w:r>
      <w:r>
        <w:t>kinetics is new, and no claim to the contrary is made. What the reviewed literature does not do is carry those outputs into a cost record. Baidhe et al. (2024) report that inadequate and unmeasured drying remains a principal determinant of grain quality loss across Africa, and that smallholder practice judges the end point by eye; the enterprise-budgeting literature (Kay et al., 2016) supplies the cost-behaviour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8A0666">
      <w:pPr>
        <w:pStyle w:val="BodyPara"/>
      </w:pPr>
      <w:r>
        <w:t>[AUTHOR: bridge needed]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at the baseline by regenerating and refitting rather than by reading the sidecar. What is unproven is the model’s relevance, not the integrity of the procedure. The claim </w:t>
      </w:r>
      <w:r w:rsidR="008A0666">
        <w:lastRenderedPageBreak/>
        <w:t>that the artefact was not reproducible from the repository, carried by an earlier draft, was wrong and understated the project’s own rigour. No claim of field-predictive accuracy is made, and the model should not be relied upon for a planting or input decision in its present state.</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w:t>
      </w:r>
      <w:r w:rsidR="008A0666">
        <w:lastRenderedPageBreak/>
        <w:t>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implementation. Two are known and were reported in Section 4.14: a mistaken reversal cannot itself be rolled back, only compensated by a new unlinked entry, and a stale-revalidation window in the service worker is reasoned but unreproduced and is therefore a hypothesis rather than a defect. Neither touches the correctness of a figure the platform reports. Two further limitations of the same kind stand: per-operation equipment attribution is captured but costed nowhere, so no machine-hour, utilisation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rPr/>
        <w:t>Ledger integrity boundary.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[AUTHOR: bridge needed]</w:t>
      </w:r>
    </w:p>
    <w:p w:rsidR="009C29EC" w:rsidRDefault="008A0666">
      <w:pPr>
        <w:pStyle w:val="BodyPara"/>
      </w:pPr>
      <w:r>
        <w:lastRenderedPageBreak/>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lastRenderedPageBreak/>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For lenders, investors and cooperatives. A read-only, revocable, expiring, standardised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and the latter is at least assessable. The cost structure compounds this: at ₦105 per farm per month at a two-hundred-farm tenancy, the natural adopter is an organisation serving many farms, which is also the party a lender would rather deal with.</w:t>
      </w:r>
    </w:p>
    <w:p w:rsidR="009C29EC" w:rsidRDefault="008A0666">
      <w:pPr>
        <w:pStyle w:val="BodyPara"/>
      </w:pPr>
      <w:r>
        <w:t>For agricultural and bioresources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 xml:space="preserve">become financially decision-relevant the moment they are joined to a cost record. The engineering content of this platform is not the thin-layer models but that junction. The same pattern would extend </w:t>
      </w:r>
      <w:r>
        <w:lastRenderedPageBreak/>
        <w:t>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generalise. Pairing the operational and financial write removes a class of reconciliation problem rather than managing it. Withholding a figure whose inputs are insufficient is safer than defaulting it, and costs little to implement. And a service-worker precache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For evaluation practice. A fourth position generalises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[AUTHOR: bridge needed]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Olisah et al. (2024) </w:t>
      </w:r>
      <w:r>
        <w:t>imputation, unit harmonisation,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utilisation figures, which the data model already stores and no service currently reads. Any such figure must be bounded by the fact that </w:t>
      </w:r>
      <w:r>
        <w:lastRenderedPageBreak/>
        <w:t>machine hours are populated on three of eight seeded mechanisation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Implement the feature-phone entry channel against a live carrier gateway. Nothing of this channel exists today, so this is construction rather than 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 xml:space="preserve">a representative sample of smallholder and medium-scale farmers using the platform for their own records over a defined period, with task-completion rates, System Usability </w:t>
      </w:r>
      <w:r>
        <w:lastRenderedPageBreak/>
        <w:t>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8" w:name="_Toc238621489"/>
      <w:r>
        <w:rPr>
          <w:szCs w:val="28"/>
        </w:rPr>
        <w:lastRenderedPageBreak/>
        <w:t>REFERENCES</w:t>
      </w:r>
      <w:bookmarkEnd w:id="138"/>
    </w:p>
    <w:p w:rsidR="0054721A" w:rsidRDefault="008A0666" w:rsidP="0054721A">
      <w:pPr>
        <w:pStyle w:val="ReferenceItem"/>
      </w:pPr>
      <w:r>
        <w:rPr>
          <w:szCs w:val="24"/>
        </w:rPr>
        <w:t>Abbasi, R., Martinez, P., &amp; Ahmad, R. (2022). The digitization of agricultural industry — A systematic literature review on agriculture 4.0. Smart Agricultural Technology, 2, Article 100042. https://doi.org/10.1016/j.atech.2022.100042</w:t>
      </w:r>
    </w:p>
    <w:p w:rsidR="0054721A" w:rsidRDefault="008A0666" w:rsidP="0054721A">
      <w:pPr>
        <w:pStyle w:val="ReferenceItem"/>
      </w:pPr>
      <w:r>
        <w:t>Abioye, D. O., Popoola, O., Akande, A., Fadare, D. A., Omitoyin, S. A., Yinusa, B., &amp; Kolade,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r>
        <w:t>Abiri, R., Rizan, N., Balasundram, S. K., Shahbazi, A. B., &amp; Abdul-Hamid, H. (2023). Application of digital technologies for ensuring agricultural productivity. Heliyon,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r>
        <w:t>Baidhe, E., Clementson, C. L., Senyah, J., &amp; Hammed, A. (2024). Appraisal of post-harvest drying and storage operations in Africa: Perspectives on enhancing grain quality. AgriEngineering, 6(3), 3030–3057. https://doi.org/10.3390/agriengineering6030174</w:t>
      </w:r>
    </w:p>
    <w:p w:rsidR="0054721A" w:rsidRDefault="008A0666" w:rsidP="0054721A">
      <w:pPr>
        <w:pStyle w:val="ReferenceItem"/>
      </w:pPr>
      <w:r>
        <w:t>Basir, M. S., Buckmaster, D. R., Raturi, A., &amp; Zhang, Y. (2024). From pen and paper to digital precision: A comprehensive review of on-farm recordkeeping. Precision Agriculture, 25(6), 2643–2682. https://doi.org/10.1007/s11119-024-10172-7</w:t>
      </w:r>
    </w:p>
    <w:p w:rsidR="0054721A" w:rsidRDefault="008A0666" w:rsidP="0054721A">
      <w:pPr>
        <w:pStyle w:val="ReferenceItem"/>
      </w:pPr>
      <w:r>
        <w:t>Brooke, J. (1996). SUS: A “quick and dirty” usability scale. In P. W. Jordan, B. Thomas, B. A. Weerdmeester, &amp; I. L. McClelland (Eds.), Usability evaluation in industry (pp. 189–194). Taylor &amp; Francis.</w:t>
      </w:r>
    </w:p>
    <w:p w:rsidR="0054721A" w:rsidRDefault="008A0666" w:rsidP="0054721A">
      <w:pPr>
        <w:pStyle w:val="ReferenceItem"/>
      </w:pPr>
      <w:r>
        <w:t xml:space="preserve">Carrer, M. J., de Souza Filho, H. M., &amp; Batalha,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CIMMYT. (1988). From agronomic data to farmer recommendations: An economics training manual (Rev. ed.). International Maize and Wheat Improvement Center.</w:t>
      </w:r>
    </w:p>
    <w:p w:rsidR="0054721A" w:rsidRDefault="008A0666" w:rsidP="0054721A">
      <w:pPr>
        <w:pStyle w:val="ReferenceItem"/>
      </w:pPr>
      <w:r>
        <w:t>Dayıoğlu, M. A., &amp; Türker, U. (2021). Digital transformation for sustainable future — Agriculture 4.0: A review. Journal of Agricultural Sciences, 27(4), 373–399. https://doi.org/10.15832/ankutbd.986431</w:t>
      </w:r>
    </w:p>
    <w:p w:rsidR="0054721A" w:rsidRDefault="008A0666" w:rsidP="0054721A">
      <w:pPr>
        <w:pStyle w:val="ReferenceItem"/>
      </w:pPr>
      <w:r>
        <w:t>Erbay,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(n.d.). Maize: Post-harvest operations (Post-harvest Compendium). FAO. https://www.fao.org/fileadmin/user_upload/inpho/docs/Post_Harvest_Compendium_-_MAIZE.pdf</w:t>
      </w:r>
    </w:p>
    <w:p w:rsidR="0054721A" w:rsidRDefault="008A0666" w:rsidP="0054721A">
      <w:pPr>
        <w:pStyle w:val="ReferenceItem"/>
      </w:pPr>
      <w:r>
        <w:t>Food and Agriculture Organization of the United Nations. (1988). Farm structures in tropical climates: A textbook for structural engineering and design (L. P. Bengtsson &amp; J. H. Whitaker, Eds.). FAO. https://www.fao.org/4/s1250e/S1250E00.htm</w:t>
      </w:r>
    </w:p>
    <w:p w:rsidR="0054721A" w:rsidRDefault="008A0666" w:rsidP="0054721A">
      <w:pPr>
        <w:pStyle w:val="ReferenceItem"/>
      </w:pPr>
      <w:r>
        <w:t>Food and Agriculture Organization of the United Nations. (1998). Storage and processing of roots and tubers in the tropics (A. Diop, Author; D. J. B. Calverley, Ed.). Agro-industries and Post-Harvest Management Service, Agricultural Support Systems Division, FAO. https://www.fao.org/4/x5415e/x5415e00.htm</w:t>
      </w:r>
    </w:p>
    <w:p w:rsidR="0054721A" w:rsidRDefault="008A0666" w:rsidP="0054721A">
      <w:pPr>
        <w:pStyle w:val="ReferenceItem"/>
      </w:pPr>
      <w:r>
        <w:t xml:space="preserve">Fountas, S., Carli, G., Sørensen, C. G., Tsiropoulos, Z., Cavalaris, C., Vatsanidou, A., Liakos, B., Canavari, M., Wiebensohn, J., &amp; Tisserye,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r>
        <w:t>Gebresenbet, G., Bosona, T., Patterson, D., Persson, H., Fischer, B., Mandaluniz, N., Chirici, G., Zacepins, A., Komasilovs, V., Pitulac, T., &amp; Nasirahmadi,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r>
        <w:t>Giua, C., Materia, V. C., &amp; Camanzi,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Henderson, S. M., &amp; Pabis, S. (1961). Grain drying theory I: Temperature effect on drying coefficient. Journal of Agricultural Engineering Research, 6(3), 169–174.</w:t>
      </w:r>
    </w:p>
    <w:p w:rsidR="0054721A" w:rsidRDefault="008A0666" w:rsidP="0054721A">
      <w:pPr>
        <w:pStyle w:val="ReferenceItem"/>
      </w:pPr>
      <w:r>
        <w:t>Husemann, C., &amp; Novković, N. (2012). The model of farm management information system: A case study of a diversified German farm. DETUROPE — The Central European Journal of Regional Development and Tourism, 4(1), 76–90.</w:t>
      </w:r>
    </w:p>
    <w:p w:rsidR="0054721A" w:rsidRDefault="008A0666" w:rsidP="0054721A">
      <w:pPr>
        <w:pStyle w:val="ReferenceItem"/>
      </w:pPr>
      <w:r>
        <w:t>Javaid,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Kay, R. D., Edwards, W. M., &amp; Duffy, P. A. (2016). Farm management (8th ed.).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r>
        <w:rPr>
          <w:szCs w:val="24"/>
        </w:rPr>
        <w:t>Meinshausen, N. (2006). Quantile regression forests. Journal of Machine Learning Research, 7, 983–999.</w:t>
      </w:r>
    </w:p>
    <w:p w:rsidR="0054721A" w:rsidRDefault="008A0666" w:rsidP="0054721A">
      <w:pPr>
        <w:pStyle w:val="ReferenceItem"/>
      </w:pPr>
      <w:r>
        <w:t>Mhlanga, D., &amp; Ndhlovu,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Nielsen, J., &amp; Molich,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r>
        <w:t>Olisah, C. C., Smith, L., Smith, M., Lawrence, M. O., &amp; Ojukwu, O. (2024). Corn yield prediction model with deep neural networks for smallholder farmer decision support system (arXiv:2401.03768) [Preprint]. arXiv. https://doi.org/10.48550/arXiv.2401.03768</w:t>
      </w:r>
    </w:p>
    <w:p w:rsidR="0054721A" w:rsidRDefault="008A0666" w:rsidP="0054721A">
      <w:pPr>
        <w:pStyle w:val="ReferenceItem"/>
      </w:pPr>
      <w:r>
        <w:t xml:space="preserve">Onwude, D. I., Hashim, N., Janius, R. B., Nawi, N. M., &amp; Abdan,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r>
        <w:t>Poppe, K., Vrolijk, H., &amp; Bosloper,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r>
        <w:t>Tummers, J., Kassahun, A., &amp; Tekinerdogan,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r>
        <w:t>van Klompenburg, T., Kassahun, A., &amp; Catal,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Wager, S., Hastie, T., &amp; Efron, B. (2014). Confidence intervals for random forests: The jackknife and the infinitesimal jackknife. Journal of Machine Learning Research, 15(1), 1625–1651.</w:t>
      </w:r>
    </w:p>
    <w:p w:rsidR="0054721A" w:rsidRDefault="008A0666" w:rsidP="0054721A">
      <w:pPr>
        <w:pStyle w:val="ReferenceItem"/>
      </w:pPr>
      <w:r>
        <w:t>Xiong, H., Dalhaus, T., Wang, P., &amp; Huang, J. (2020). Blockchain technology for agriculture: Applications and rationale. Frontiers in Blockchain,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5"/>
        <w:gridCol w:w="4562"/>
        <w:gridCol w:w="3718"/>
      </w:tblGrid>
      <w:tr w:rsidR="00A9561D" w:rsidRPr="00A9561D" w:rsidTr="00A9561D">
        <w:trPr>
          <w:tblCellSpacing w:w="15" w:type="dxa"/>
          <w:jc w:val="center"/>
        </w:trPr>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Cs/>
                <w:lang w:val="en-GB"/>
              </w:rPr>
            </w:pPr>
            <w:r w:rsidRPr="00A9561D">
              <w:rPr>
                <w:bCs/>
                <w:lang w:val="en-GB"/>
              </w:rPr>
              <w:t>#</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Capability</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Status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idempotency.</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reverses_id; double reversal and cross-farm tampering are rejected.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Deterministic decision support (Tier 1):</w:t>
            </w:r>
            <w:r w:rsidRPr="00A9561D">
              <w:rPr>
                <w:lang w:val="en-GB"/>
              </w:rPr>
              <w:t xml:space="preserve"> unit cost of production on two bases, per-crop gross margin and ranking, retrospective break-even yield, both break-even prices, sensitivity matrix, operating-expense ratio, and partial budget.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Predictive decision support (Tier 2):</w:t>
            </w:r>
            <w:r w:rsidRPr="00A9561D">
              <w:rPr>
                <w:lang w:val="en-GB"/>
              </w:rPr>
              <w:t xml:space="preserve"> Random Forest yield forecast with a confidence band derived from the spread of the forest's trees.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w:t>
            </w:r>
            <w:r w:rsidRPr="00A9561D">
              <w:rPr>
                <w:lang w:val="en-GB"/>
              </w:rPr>
              <w:t xml:space="preserve"> Page and Newton model fitting, wet↔dry basis conversion, water balance, safe-storage lookup, per-crop aggregation, and drying-aware unit costs.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Identity and per-farm data boundary:</w:t>
            </w:r>
            <w:r w:rsidRPr="00A9561D">
              <w:rPr>
                <w:lang w:val="en-GB"/>
              </w:rPr>
              <w:t xml:space="preserve"> signed-token authentication with hashed passwords; every query is farm-scoped; a cross-farm read returns HTTP 404.</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10</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Olympic-average yield baseline:</w:t>
            </w:r>
            <w:r w:rsidRPr="00A9561D">
              <w:rPr>
                <w:lang w:val="en-GB"/>
              </w:rPr>
              <w:t xml:space="preserve"> discards the highest and lowest season before averaging; </w:t>
            </w:r>
            <w:r w:rsidRPr="00A9561D">
              <w:rPr>
                <w:lang w:val="en-GB"/>
              </w:rPr>
              <w:lastRenderedPageBreak/>
              <w:t>refused below three seasons, with the season count stated in every branch.</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 xml:space="preserve">Implemented and reachable. Rendered by the yield-baseline panel </w:t>
            </w:r>
            <w:r w:rsidRPr="00A9561D">
              <w:rPr>
                <w:lang w:val="en-GB"/>
              </w:rPr>
              <w:lastRenderedPageBreak/>
              <w:t>within the enterprise-economics view.</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12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Every crop that holds a ledger can be entered through the form.</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Per-operation equipment attribution and machine hours.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Captured but not costed. equipment_id and hours_used are validated and stored but read by no service. No cost-per-hour, utilisation, or machine-rate figure exists anywhere in the platform, and none is reported in this thesis.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on the running stack.</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Share-token expiry and credential hygiene:</w:t>
            </w:r>
            <w:r w:rsidRPr="00A9561D">
              <w:rPr>
                <w:lang w:val="en-GB"/>
              </w:rPr>
              <w:t xml:space="preserve"> ninety-day expiry, hashed at rest, refused as a </w:t>
            </w:r>
            <w:r w:rsidRPr="00A9561D">
              <w:rPr>
                <w:lang w:val="en-GB"/>
              </w:rPr>
              <w:lastRenderedPageBreak/>
              <w:t>bearer credential, and unknown, revoked, and expired tokens all resolve to one identical response.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Monetary and quantity input bounds:</w:t>
            </w:r>
            <w:r w:rsidRPr="00A9561D">
              <w:rPr>
                <w:lang w:val="en-GB"/>
              </w:rPr>
              <w:t xml:space="preserve"> enforced at the schema edge.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Negative, absurd, and non-finite values are rejected.</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 readings capture:</w:t>
            </w:r>
            <w:r w:rsidRPr="00A9561D">
              <w:rPr>
                <w:lang w:val="en-GB"/>
              </w:rPr>
              <w:t xml:space="preserve"> repeatable time-and-moisture rows on the entry form, validated client-side and plotted.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A Page fit can be obtained from a run entered through the interface.</w:t>
            </w:r>
          </w:p>
        </w:tc>
      </w:tr>
      <w:tr w:rsidR="00A9561D" w:rsidRPr="00A9561D" w:rsidTr="00A9561D">
        <w:trPr>
          <w:tblCellSpacing w:w="15" w:type="dxa"/>
          <w:jc w:val="center"/>
        </w:trPr>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20</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Bioprocess summary endpoint (GET /bioprocess/summary).</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Table B.1: Security and authorisation verification against the running stack</w:t>
      </w:r>
    </w:p>
    <w:tbl>
      <w:tblPr>
        <w:tblStyle w:val="TableGrid"/>
        <w:tblW w:w="0" w:type="auto"/>
        <w:tblLook w:val="04A0" w:firstRow="1" w:lastRow="0" w:firstColumn="1" w:lastColumn="0" w:noHBand="0" w:noVBand="1"/>
      </w:tblPr>
      <w:tblGrid>
        <w:gridCol w:w="2835"/>
        <w:gridCol w:w="2835"/>
        <w:gridCol w:w="2835"/>
      </w:tblGrid>
      <w:tr w:rsidR="00605853">
        <w:tc>
          <w:tcPr>
            <w:tcW w:w="2835" w:type="dxa"/>
          </w:tcPr>
          <w:p w:rsidR="00605853" w:rsidRDefault="00204124">
            <w:r>
              <w:rPr>
                <w:b/>
              </w:rPr>
              <w:t>Property verified</w:t>
            </w:r>
          </w:p>
        </w:tc>
        <w:tc>
          <w:tcPr>
            <w:tcW w:w="2835" w:type="dxa"/>
          </w:tcPr>
          <w:p w:rsidR="00605853" w:rsidRDefault="00204124">
            <w:r>
              <w:rPr>
                <w:b/>
              </w:rPr>
              <w:t>Probe</w:t>
            </w:r>
          </w:p>
        </w:tc>
        <w:tc>
          <w:tcPr>
            <w:tcW w:w="2835" w:type="dxa"/>
          </w:tcPr>
          <w:p w:rsidR="00605853" w:rsidRDefault="00204124">
            <w:r>
              <w:rPr>
                <w:b/>
              </w:rPr>
              <w:t>Result</w:t>
            </w:r>
          </w:p>
        </w:tc>
      </w:tr>
      <w:tr w:rsidR="00605853">
        <w:tc>
          <w:tcPr>
            <w:tcW w:w="2835" w:type="dxa"/>
          </w:tcPr>
          <w:p w:rsidR="00605853" w:rsidRDefault="00204124">
            <w:r>
              <w:t>Role-based authorisation</w:t>
            </w:r>
          </w:p>
        </w:tc>
        <w:tc>
          <w:tcPr>
            <w:tcW w:w="2835" w:type="dxa"/>
          </w:tcPr>
          <w:p w:rsidR="00605853" w:rsidRDefault="00204124">
            <w:r>
              <w:t>Live matrix over 3 roles and 11 named permissions on the running stack</w:t>
            </w:r>
          </w:p>
        </w:tc>
        <w:tc>
          <w:tcPr>
            <w:tcW w:w="2835" w:type="dxa"/>
          </w:tcPr>
          <w:p w:rsidR="00605853" w:rsidRDefault="00204124">
            <w:r>
              <w:t>Each role admitted exactly its permitted routes; the 403 body names only the missing permission</w:t>
            </w:r>
          </w:p>
        </w:tc>
      </w:tr>
      <w:tr w:rsidR="00605853">
        <w:tc>
          <w:tcPr>
            <w:tcW w:w="2835" w:type="dxa"/>
          </w:tcPr>
          <w:p w:rsidR="00605853" w:rsidRDefault="00204124">
            <w:r>
              <w:t>Privilege ceiling</w:t>
            </w:r>
          </w:p>
        </w:tc>
        <w:tc>
          <w:tcPr>
            <w:tcW w:w="2835" w:type="dxa"/>
          </w:tcPr>
          <w:p w:rsidR="00605853" w:rsidRDefault="00204124">
            <w:r>
              <w:t>POST /dss/train issued as the farm owner</w:t>
            </w:r>
          </w:p>
        </w:tc>
        <w:tc>
          <w:tcPr>
            <w:tcW w:w="2835" w:type="dxa"/>
          </w:tcPr>
          <w:p w:rsidR="00605853" w:rsidRDefault="00204124">
            <w:r>
              <w:t>403 — no role may retrain the model</w:t>
            </w:r>
          </w:p>
        </w:tc>
      </w:tr>
      <w:tr w:rsidR="00605853">
        <w:tc>
          <w:tcPr>
            <w:tcW w:w="2835" w:type="dxa"/>
          </w:tcPr>
          <w:p w:rsidR="00605853" w:rsidRDefault="00204124">
            <w:r>
              <w:t>Per-farm isolation</w:t>
            </w:r>
          </w:p>
        </w:tc>
        <w:tc>
          <w:tcPr>
            <w:tcW w:w="2835" w:type="dxa"/>
          </w:tcPr>
          <w:p w:rsidR="00605853" w:rsidRDefault="00204124">
            <w:r>
              <w:t>Cross-farm read on the enterprise-economics and bioprocess detail routes</w:t>
            </w:r>
          </w:p>
        </w:tc>
        <w:tc>
          <w:tcPr>
            <w:tcW w:w="2835" w:type="dxa"/>
          </w:tcPr>
          <w:p w:rsidR="00605853" w:rsidRDefault="00204124">
            <w:r>
              <w:t>404, not an empty result, so the boundary is not an existence oracle</w:t>
            </w:r>
          </w:p>
        </w:tc>
      </w:tr>
      <w:tr w:rsidR="00605853">
        <w:tc>
          <w:tcPr>
            <w:tcW w:w="2835" w:type="dxa"/>
          </w:tcPr>
          <w:p w:rsidR="00605853" w:rsidRDefault="00204124">
            <w:r>
              <w:t>Login throttling</w:t>
            </w:r>
          </w:p>
        </w:tc>
        <w:tc>
          <w:tcPr>
            <w:tcW w:w="2835" w:type="dxa"/>
          </w:tcPr>
          <w:p w:rsidR="00605853" w:rsidRDefault="00204124">
            <w:r>
              <w:t>Repeated failed logins against one account</w:t>
            </w:r>
          </w:p>
        </w:tc>
        <w:tc>
          <w:tcPr>
            <w:tcW w:w="2835" w:type="dxa"/>
          </w:tcPr>
          <w:p w:rsidR="00605853" w:rsidRDefault="00204124">
            <w:r>
              <w:t>10 failures returned 401; the 11th returned 429 with Retry-After: 896. Budget is 10 failures per 900 s; the refusal names no account</w:t>
            </w:r>
          </w:p>
        </w:tc>
      </w:tr>
      <w:tr w:rsidR="00605853">
        <w:tc>
          <w:tcPr>
            <w:tcW w:w="2835" w:type="dxa"/>
          </w:tcPr>
          <w:p w:rsidR="00605853" w:rsidRDefault="00204124">
            <w:r>
              <w:t>Share-token expiry</w:t>
            </w:r>
          </w:p>
        </w:tc>
        <w:tc>
          <w:tcPr>
            <w:tcW w:w="2835" w:type="dxa"/>
          </w:tcPr>
          <w:p w:rsidR="00605853" w:rsidRDefault="00204124">
            <w:r>
              <w:t>Token lifetime inspected against its creation time</w:t>
            </w:r>
          </w:p>
        </w:tc>
        <w:tc>
          <w:tcPr>
            <w:tcW w:w="2835" w:type="dxa"/>
          </w:tcPr>
          <w:p w:rsidR="00605853" w:rsidRDefault="00204124">
            <w:r>
              <w:t>90-day expiry, verified to the second</w:t>
            </w:r>
          </w:p>
        </w:tc>
      </w:tr>
      <w:tr w:rsidR="00605853">
        <w:tc>
          <w:tcPr>
            <w:tcW w:w="2835" w:type="dxa"/>
          </w:tcPr>
          <w:p w:rsidR="00605853" w:rsidRDefault="00204124">
            <w:r>
              <w:t>Share-token storage</w:t>
            </w:r>
          </w:p>
        </w:tc>
        <w:tc>
          <w:tcPr>
            <w:tcW w:w="2835" w:type="dxa"/>
          </w:tcPr>
          <w:p w:rsidR="00605853" w:rsidRDefault="00204124">
            <w:r>
              <w:t>Database inspection</w:t>
            </w:r>
          </w:p>
        </w:tc>
        <w:tc>
          <w:tcPr>
            <w:tcW w:w="2835" w:type="dxa"/>
          </w:tcPr>
          <w:p w:rsidR="00605853" w:rsidRDefault="00204124">
            <w:r>
              <w:t xml:space="preserve">Stored only as a hash; no </w:t>
            </w:r>
            <w:r>
              <w:lastRenderedPageBreak/>
              <w:t>clear-text token at rest</w:t>
            </w:r>
          </w:p>
        </w:tc>
      </w:tr>
      <w:tr w:rsidR="00605853">
        <w:tc>
          <w:tcPr>
            <w:tcW w:w="2835" w:type="dxa"/>
          </w:tcPr>
          <w:p w:rsidR="00605853" w:rsidRDefault="00204124">
            <w:r>
              <w:lastRenderedPageBreak/>
              <w:t>Share-token misuse</w:t>
            </w:r>
          </w:p>
        </w:tc>
        <w:tc>
          <w:tcPr>
            <w:tcW w:w="2835" w:type="dxa"/>
          </w:tcPr>
          <w:p w:rsidR="00605853" w:rsidRDefault="00204124">
            <w:r>
              <w:t>Token presented as an Authorization bearer credential</w:t>
            </w:r>
          </w:p>
        </w:tc>
        <w:tc>
          <w:tcPr>
            <w:tcW w:w="2835" w:type="dxa"/>
          </w:tcPr>
          <w:p w:rsidR="00605853" w:rsidRDefault="00204124">
            <w:r>
              <w:t>401 — the token is accepted only as a path credential</w:t>
            </w:r>
          </w:p>
        </w:tc>
      </w:tr>
      <w:tr w:rsidR="00605853">
        <w:tc>
          <w:tcPr>
            <w:tcW w:w="2835" w:type="dxa"/>
          </w:tcPr>
          <w:p w:rsidR="00605853" w:rsidRDefault="00204124">
            <w:r>
              <w:t>Share-token revocation</w:t>
            </w:r>
          </w:p>
        </w:tc>
        <w:tc>
          <w:tcPr>
            <w:tcW w:w="2835" w:type="dxa"/>
          </w:tcPr>
          <w:p w:rsidR="00605853" w:rsidRDefault="00204124">
            <w:r>
              <w:t>Revoked, unknown and expired tokens each requested</w:t>
            </w:r>
          </w:p>
        </w:tc>
        <w:tc>
          <w:tcPr>
            <w:tcW w:w="2835" w:type="dxa"/>
          </w:tcPr>
          <w:p w:rsidR="00605853" w:rsidRDefault="00204124">
            <w:r>
              <w:t>All three returned an identical 404</w:t>
            </w:r>
          </w:p>
        </w:tc>
      </w:tr>
      <w:tr w:rsidR="00605853">
        <w:tc>
          <w:tcPr>
            <w:tcW w:w="2835" w:type="dxa"/>
          </w:tcPr>
          <w:p w:rsidR="00605853" w:rsidRDefault="00204124">
            <w:r>
              <w:t>Unauthenticated report</w:t>
            </w:r>
          </w:p>
        </w:tc>
        <w:tc>
          <w:tcPr>
            <w:tcW w:w="2835" w:type="dxa"/>
          </w:tcPr>
          <w:p w:rsidR="00605853" w:rsidRDefault="00204124">
            <w:r>
              <w:t>Public investor report fetched with a live token</w:t>
            </w:r>
          </w:p>
        </w:tc>
        <w:tc>
          <w:tcPr>
            <w:tcW w:w="2835" w:type="dxa"/>
          </w:tcPr>
          <w:p w:rsidR="00605853" w:rsidRDefault="00204124">
            <w:r>
              <w:t>200, returning the netted figures</w:t>
            </w:r>
          </w:p>
        </w:tc>
      </w:tr>
      <w:tr w:rsidR="00605853">
        <w:tc>
          <w:tcPr>
            <w:tcW w:w="2835" w:type="dxa"/>
          </w:tcPr>
          <w:p w:rsidR="00605853" w:rsidRDefault="00204124">
            <w:r>
              <w:t>Credential hygiene</w:t>
            </w:r>
          </w:p>
        </w:tc>
        <w:tc>
          <w:tcPr>
            <w:tcW w:w="2835" w:type="dxa"/>
          </w:tcPr>
          <w:p w:rsidR="00605853" w:rsidRDefault="00204124">
            <w:r>
              <w:t>Raw token searched for across all three request logs</w:t>
            </w:r>
          </w:p>
        </w:tc>
        <w:tc>
          <w:tcPr>
            <w:tcW w:w="2835" w:type="dxa"/>
          </w:tcPr>
          <w:p w:rsidR="00605853" w:rsidRDefault="00204124">
            <w:r>
              <w:t>Absent from every log; replaced by a stable 12-hex non-reversible fingerprint that still correlates requests</w:t>
            </w:r>
          </w:p>
        </w:tc>
      </w:tr>
      <w:tr w:rsidR="00605853">
        <w:tc>
          <w:tcPr>
            <w:tcW w:w="2835" w:type="dxa"/>
          </w:tcPr>
          <w:p w:rsidR="00605853" w:rsidRDefault="00204124">
            <w:r>
              <w:t>Monetary input bounds</w:t>
            </w:r>
          </w:p>
        </w:tc>
        <w:tc>
          <w:tcPr>
            <w:tcW w:w="2835" w:type="dxa"/>
          </w:tcPr>
          <w:p w:rsidR="00605853" w:rsidRDefault="00204124">
            <w:r>
              <w:t>Amounts of −1,000,000, 2,000,000,000, Infinity and NaN submitted</w:t>
            </w:r>
          </w:p>
        </w:tc>
        <w:tc>
          <w:tcPr>
            <w:tcW w:w="2835" w:type="dxa"/>
          </w:tcPr>
          <w:p w:rsidR="00605853" w:rsidRDefault="00204124">
            <w:r>
              <w:t>422 on each; a valid amount returned 201</w:t>
            </w:r>
          </w:p>
        </w:tc>
      </w:tr>
      <w:tr w:rsidR="00605853">
        <w:tc>
          <w:tcPr>
            <w:tcW w:w="2835" w:type="dxa"/>
          </w:tcPr>
          <w:p w:rsidR="00605853" w:rsidRDefault="00204124">
            <w:r>
              <w:t>Equipment correction</w:t>
            </w:r>
          </w:p>
        </w:tc>
        <w:tc>
          <w:tcPr>
            <w:tcW w:w="2835" w:type="dxa"/>
          </w:tcPr>
          <w:p w:rsidR="00605853" w:rsidRDefault="00204124">
            <w:r>
              <w:t>PATCH on an equipment record, and a no-op PATCH</w:t>
            </w:r>
          </w:p>
        </w:tc>
        <w:tc>
          <w:tcPr>
            <w:tcW w:w="2835" w:type="dxa"/>
          </w:tcPr>
          <w:p w:rsidR="00605853" w:rsidRDefault="00204124">
            <w:r>
              <w:t xml:space="preserve">200 with a modification time stamped; the no-op left the modification time unchanged, so a non-correction is not recorded. </w:t>
            </w:r>
            <w:r>
              <w:lastRenderedPageBreak/>
              <w:t>An out-of-range depreciation rate returned 422</w:t>
            </w:r>
          </w:p>
        </w:tc>
      </w:tr>
      <w:tr w:rsidR="00605853">
        <w:tc>
          <w:tcPr>
            <w:tcW w:w="2835" w:type="dxa"/>
          </w:tcPr>
          <w:p w:rsidR="00605853" w:rsidRDefault="00204124">
            <w:r>
              <w:lastRenderedPageBreak/>
              <w:t>Ledger immutability</w:t>
            </w:r>
          </w:p>
        </w:tc>
        <w:tc>
          <w:tcPr>
            <w:tcW w:w="2835" w:type="dxa"/>
          </w:tcPr>
          <w:p w:rsidR="00605853" w:rsidRDefault="00204124">
            <w:r>
              <w:t>DELETE on a posted operational log</w:t>
            </w:r>
          </w:p>
        </w:tc>
        <w:tc>
          <w:tcPr>
            <w:tcW w:w="2835" w:type="dxa"/>
          </w:tcPr>
          <w:p w:rsidR="00605853" w:rsidRDefault="00204124">
            <w:r>
              <w:t>405 — deletion is refused outright</w:t>
            </w:r>
          </w:p>
        </w:tc>
      </w:tr>
    </w:tbl>
    <w:p w:rsidR="009C29EC" w:rsidRDefault="008A0666">
      <w:pPr>
        <w:pStyle w:val="TableCaption"/>
      </w:pPr>
      <w:r>
        <w:rPr>
          <w:szCs w:val="24"/>
        </w:rPr>
        <w:t>Table B.2: Deployment, migration and recovery verification</w:t>
      </w:r>
    </w:p>
    <w:tbl>
      <w:tblPr>
        <w:tblStyle w:val="TableGrid"/>
        <w:tblW w:w="0" w:type="auto"/>
        <w:tblLook w:val="04A0" w:firstRow="1" w:lastRow="0" w:firstColumn="1" w:lastColumn="0" w:noHBand="0" w:noVBand="1"/>
      </w:tblPr>
      <w:tblGrid>
        <w:gridCol w:w="4252"/>
        <w:gridCol w:w="4252"/>
      </w:tblGrid>
      <w:tr w:rsidR="00605853">
        <w:tc>
          <w:tcPr>
            <w:tcW w:w="4252" w:type="dxa"/>
          </w:tcPr>
          <w:p w:rsidR="00605853" w:rsidRDefault="00204124">
            <w:r>
              <w:rPr>
                <w:b/>
              </w:rPr>
              <w:t>Check</w:t>
            </w:r>
          </w:p>
        </w:tc>
        <w:tc>
          <w:tcPr>
            <w:tcW w:w="4252" w:type="dxa"/>
          </w:tcPr>
          <w:p w:rsidR="00605853" w:rsidRDefault="00204124">
            <w:r>
              <w:rPr>
                <w:b/>
              </w:rPr>
              <w:t>Result</w:t>
            </w:r>
          </w:p>
        </w:tc>
      </w:tr>
      <w:tr w:rsidR="00605853">
        <w:tc>
          <w:tcPr>
            <w:tcW w:w="4252" w:type="dxa"/>
          </w:tcPr>
          <w:p w:rsidR="00605853" w:rsidRDefault="00204124">
            <w:r>
              <w:t>Production composition</w:t>
            </w:r>
          </w:p>
        </w:tc>
        <w:tc>
          <w:tcPr>
            <w:tcW w:w="4252" w:type="dxa"/>
          </w:tcPr>
          <w:p w:rsidR="00605853" w:rsidRDefault="00204124">
            <w:r>
              <w:t>3 services started and reported healthy</w:t>
            </w:r>
          </w:p>
        </w:tc>
      </w:tr>
      <w:tr w:rsidR="00605853">
        <w:tc>
          <w:tcPr>
            <w:tcW w:w="4252" w:type="dxa"/>
          </w:tcPr>
          <w:p w:rsidR="00605853" w:rsidRDefault="00204124">
            <w:r>
              <w:t>Live probes</w:t>
            </w:r>
          </w:p>
        </w:tc>
        <w:tc>
          <w:tcPr>
            <w:tcW w:w="4252" w:type="dxa"/>
          </w:tcPr>
          <w:p w:rsidR="00605853" w:rsidRDefault="00204124">
            <w:r>
              <w:t>7 of 7 passed</w:t>
            </w:r>
          </w:p>
        </w:tc>
      </w:tr>
      <w:tr w:rsidR="00605853">
        <w:tc>
          <w:tcPr>
            <w:tcW w:w="4252" w:type="dxa"/>
          </w:tcPr>
          <w:p w:rsidR="00605853" w:rsidRDefault="00204124">
            <w:r>
              <w:t>Container privilege</w:t>
            </w:r>
          </w:p>
        </w:tc>
        <w:tc>
          <w:tcPr>
            <w:tcW w:w="4252" w:type="dxa"/>
          </w:tcPr>
          <w:p w:rsidR="00605853" w:rsidRDefault="00204124">
            <w:r>
              <w:t>Both application containers run non-root (backend uid 1000, frontend uid 101)</w:t>
            </w:r>
          </w:p>
        </w:tc>
      </w:tr>
      <w:tr w:rsidR="00605853">
        <w:tc>
          <w:tcPr>
            <w:tcW w:w="4252" w:type="dxa"/>
          </w:tcPr>
          <w:p w:rsidR="00605853" w:rsidRDefault="00204124">
            <w:r>
              <w:t>Database exposure</w:t>
            </w:r>
          </w:p>
        </w:tc>
        <w:tc>
          <w:tcPr>
            <w:tcW w:w="4252" w:type="dxa"/>
          </w:tcPr>
          <w:p w:rsidR="00605853" w:rsidRDefault="00204124">
            <w:r>
              <w:t>The database container publishes no host port</w:t>
            </w:r>
          </w:p>
        </w:tc>
      </w:tr>
      <w:tr w:rsidR="00605853">
        <w:tc>
          <w:tcPr>
            <w:tcW w:w="4252" w:type="dxa"/>
          </w:tcPr>
          <w:p w:rsidR="00605853" w:rsidRDefault="00204124">
            <w:r>
              <w:t>Configuration</w:t>
            </w:r>
          </w:p>
        </w:tc>
        <w:tc>
          <w:tcPr>
            <w:tcW w:w="4252" w:type="dxa"/>
          </w:tcPr>
          <w:p w:rsidR="00605853" w:rsidRDefault="00204124">
            <w:r>
              <w:t>The production composition renders from .env.example alone; no signing-key literal is committed and no environment file is tracked; the optional TLS edge profile renders</w:t>
            </w:r>
          </w:p>
        </w:tc>
      </w:tr>
      <w:tr w:rsidR="00605853">
        <w:tc>
          <w:tcPr>
            <w:tcW w:w="4252" w:type="dxa"/>
          </w:tcPr>
          <w:p w:rsidR="00605853" w:rsidRDefault="00204124">
            <w:r>
              <w:t>Migration chain</w:t>
            </w:r>
          </w:p>
        </w:tc>
        <w:tc>
          <w:tcPr>
            <w:tcW w:w="4252" w:type="dxa"/>
          </w:tcPr>
          <w:p w:rsidR="00605853" w:rsidRDefault="00204124">
            <w:r>
              <w:t>9 revisions, single head b9e5f30c74a1, every revision defining both directions</w:t>
            </w:r>
          </w:p>
        </w:tc>
      </w:tr>
      <w:tr w:rsidR="00605853">
        <w:tc>
          <w:tcPr>
            <w:tcW w:w="4252" w:type="dxa"/>
          </w:tcPr>
          <w:p w:rsidR="00605853" w:rsidRDefault="00204124">
            <w:r>
              <w:lastRenderedPageBreak/>
              <w:t>Migration against PostgreSQL</w:t>
            </w:r>
          </w:p>
        </w:tc>
        <w:tc>
          <w:tcPr>
            <w:tcW w:w="4252" w:type="dxa"/>
          </w:tcPr>
          <w:p w:rsidR="00605853" w:rsidRDefault="00204124">
            <w:r>
              <w:t>The migration module, which holds the four locally-skipped tests among its twelve, was executed in full against PostgreSQL 15.18 on 29 August 2026: 12 of 12 passed, including the schema-versus-models drift check and a rollback-and-reapply</w:t>
            </w:r>
          </w:p>
        </w:tc>
      </w:tr>
      <w:tr w:rsidR="00605853">
        <w:tc>
          <w:tcPr>
            <w:tcW w:w="4252" w:type="dxa"/>
          </w:tcPr>
          <w:p w:rsidR="00605853" w:rsidRDefault="00204124">
            <w:r>
              <w:t>Backup and restore</w:t>
            </w:r>
          </w:p>
        </w:tc>
        <w:tc>
          <w:tcPr>
            <w:tcW w:w="4252" w:type="dxa"/>
          </w:tcPr>
          <w:p w:rsidR="00605853" w:rsidRDefault="00204124">
            <w:r>
              <w:t>Executed with the project’s own scripts: a 28,164-byte dump, 8 tables with data, every row count matched on restore, alembic_version b9e5f30c74a1, 0 unpaired operational logs, the live database untouched</w:t>
            </w:r>
          </w:p>
        </w:tc>
      </w:tr>
      <w:tr w:rsidR="00605853">
        <w:tc>
          <w:tcPr>
            <w:tcW w:w="4252" w:type="dxa"/>
          </w:tcPr>
          <w:p w:rsidR="00605853" w:rsidRDefault="00204124">
            <w:r>
              <w:t>TLS for a real domain</w:t>
            </w:r>
          </w:p>
        </w:tc>
        <w:tc>
          <w:tcPr>
            <w:tcW w:w="4252" w:type="dxa"/>
          </w:tcPr>
          <w:p w:rsidR="00605853" w:rsidRDefault="00204124">
            <w:r>
              <w:t>Not performed. Automatic certificate issuance has never run against a real hostname</w:t>
            </w:r>
          </w:p>
        </w:tc>
      </w:tr>
      <w:tr w:rsidR="00605853">
        <w:tc>
          <w:tcPr>
            <w:tcW w:w="4252" w:type="dxa"/>
          </w:tcPr>
          <w:p w:rsidR="00605853" w:rsidRDefault="00204124">
            <w:r>
              <w:t>Observability</w:t>
            </w:r>
          </w:p>
        </w:tc>
        <w:tc>
          <w:tcPr>
            <w:tcW w:w="4252" w:type="dxa"/>
          </w:tcPr>
          <w:p w:rsidR="00605853" w:rsidRDefault="00204124">
            <w:r>
              <w:t>None. No metrics, no tracing, no alerting; containers log to standard output only</w:t>
            </w:r>
          </w:p>
        </w:tc>
      </w:tr>
      <w:tr w:rsidR="00605853">
        <w:tc>
          <w:tcPr>
            <w:tcW w:w="4252" w:type="dxa"/>
          </w:tcPr>
          <w:p w:rsidR="00605853" w:rsidRDefault="00204124">
            <w:r>
              <w:t>Continuous integration</w:t>
            </w:r>
          </w:p>
        </w:tc>
        <w:tc>
          <w:tcPr>
            <w:tcW w:w="4252" w:type="dxa"/>
          </w:tcPr>
          <w:p w:rsidR="00605853" w:rsidRDefault="00204124">
            <w:r>
              <w:t>No run result is recorded for the baseline commit</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Component</w:t>
            </w:r>
          </w:p>
        </w:tc>
        <w:tc>
          <w:tcPr>
            <w:tcW w:w="2835" w:type="dxa"/>
            <w:vAlign w:val="center"/>
          </w:tcPr>
          <w:p w:rsidR="009C29EC" w:rsidRDefault="008A0666">
            <w:pPr>
              <w:pStyle w:val="TableCell"/>
            </w:pPr>
            <w:r>
              <w:rPr>
                <w:b/>
                <w:bCs/>
                <w:sz w:val="22"/>
              </w:rPr>
              <w:t>Measured memory</w:t>
            </w:r>
          </w:p>
        </w:tc>
        <w:tc>
          <w:tcPr>
            <w:tcW w:w="2835" w:type="dxa"/>
            <w:vAlign w:val="center"/>
          </w:tcPr>
          <w:p w:rsidR="009C29EC" w:rsidRDefault="008A0666">
            <w:pPr>
              <w:pStyle w:val="TableCell"/>
            </w:pPr>
            <w:r>
              <w:rPr>
                <w:b/>
                <w:bCs/>
                <w:sz w:val="22"/>
              </w:rPr>
              <w:t>Note</w:t>
            </w:r>
          </w:p>
        </w:tc>
      </w:tr>
      <w:tr w:rsidR="009C29EC">
        <w:trPr>
          <w:jc w:val="center"/>
        </w:trPr>
        <w:tc>
          <w:tcPr>
            <w:tcW w:w="2834" w:type="dxa"/>
            <w:vAlign w:val="center"/>
          </w:tcPr>
          <w:p w:rsidR="009C29EC" w:rsidRDefault="008A0666">
            <w:pPr>
              <w:pStyle w:val="TableCell"/>
            </w:pPr>
            <w:r>
              <w:rPr>
                <w:sz w:val="22"/>
              </w:rPr>
              <w:t>FastAPI backend</w:t>
            </w:r>
          </w:p>
        </w:tc>
        <w:tc>
          <w:tcPr>
            <w:tcW w:w="2835" w:type="dxa"/>
            <w:vAlign w:val="center"/>
          </w:tcPr>
          <w:p w:rsidR="009C29EC" w:rsidRDefault="008A0666">
            <w:pPr>
              <w:pStyle w:val="TableCell"/>
            </w:pPr>
            <w:r>
              <w:rPr>
                <w:sz w:val="22"/>
              </w:rPr>
              <w:t>145.5–161.5 MiB</w:t>
            </w:r>
          </w:p>
        </w:tc>
        <w:tc>
          <w:tcPr>
            <w:tcW w:w="2835" w:type="dxa"/>
            <w:vAlign w:val="center"/>
          </w:tcPr>
          <w:p w:rsidR="009C29EC" w:rsidRDefault="008A0666">
            <w:pPr>
              <w:pStyle w:val="TableCell"/>
            </w:pPr>
            <w:r>
              <w:rPr>
                <w:sz w:val="22"/>
              </w:rPr>
              <w:t>At rest, ≈0.2% CPU. Includes the Python runtime, the framework, the ORM, numpy, scikit-learn and the fitted model</w:t>
            </w:r>
          </w:p>
        </w:tc>
      </w:tr>
      <w:tr w:rsidR="009C29EC">
        <w:trPr>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33.4–41.3 MiB</w:t>
            </w:r>
          </w:p>
        </w:tc>
        <w:tc>
          <w:tcPr>
            <w:tcW w:w="2835" w:type="dxa"/>
            <w:vAlign w:val="center"/>
          </w:tcPr>
          <w:p w:rsidR="009C29EC" w:rsidRDefault="008A0666">
            <w:pPr>
              <w:pStyle w:val="TableCell"/>
            </w:pPr>
            <w:r>
              <w:rPr>
                <w:sz w:val="22"/>
              </w:rPr>
              <w:t>At rest, ≈0.0% CPU, against the seeded dataset</w:t>
            </w:r>
          </w:p>
        </w:tc>
      </w:tr>
      <w:tr w:rsidR="009C29EC">
        <w:trPr>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178.9–202.8 MiB</w:t>
            </w:r>
          </w:p>
        </w:tc>
        <w:tc>
          <w:tcPr>
            <w:tcW w:w="2835" w:type="dxa"/>
            <w:vAlign w:val="center"/>
          </w:tcPr>
          <w:p w:rsidR="009C29EC" w:rsidRDefault="008A0666">
            <w:pPr>
              <w:pStyle w:val="TableCell"/>
            </w:pPr>
            <w:r>
              <w:rPr>
                <w:sz w:val="22"/>
              </w:rPr>
              <w:t>The two containers exercised during sampling</w:t>
            </w:r>
          </w:p>
        </w:tc>
      </w:tr>
      <w:tr w:rsidR="009C29EC">
        <w:trPr>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Not running during sampling; a Node process serving a built bundle would add on the order of 50–80 MiB, a lightweight static server closer to 15 MiB</w:t>
            </w:r>
          </w:p>
        </w:tc>
      </w:tr>
      <w:tr w:rsidR="009C29EC">
        <w:trPr>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Conventionally 300–400 MiB</w:t>
            </w:r>
          </w:p>
        </w:tc>
      </w:tr>
    </w:tbl>
    <w:p w:rsidR="009C29EC" w:rsidRDefault="008A0666">
      <w:pPr>
        <w:pStyle w:val="TableCaption"/>
      </w:pPr>
      <w:r>
        <w:rPr>
          <w:szCs w:val="24"/>
        </w:rPr>
        <w:t>Table C.2: Estimated monthly operating cost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Line item</w:t>
            </w:r>
          </w:p>
        </w:tc>
        <w:tc>
          <w:tcPr>
            <w:tcW w:w="2835" w:type="dxa"/>
            <w:vAlign w:val="center"/>
          </w:tcPr>
          <w:p w:rsidR="009C29EC" w:rsidRDefault="008A0666">
            <w:pPr>
              <w:pStyle w:val="TableCell"/>
            </w:pPr>
            <w:r>
              <w:rPr>
                <w:b/>
                <w:bCs/>
                <w:sz w:val="22"/>
              </w:rPr>
              <w:t>USD / month</w:t>
            </w:r>
          </w:p>
        </w:tc>
        <w:tc>
          <w:tcPr>
            <w:tcW w:w="2835" w:type="dxa"/>
            <w:vAlign w:val="center"/>
          </w:tcPr>
          <w:p w:rsidR="009C29EC" w:rsidRDefault="008A0666">
            <w:pPr>
              <w:pStyle w:val="TableCell"/>
            </w:pPr>
            <w:r>
              <w:rPr>
                <w:b/>
                <w:bCs/>
                <w:sz w:val="22"/>
              </w:rPr>
              <w:t>NGN / month</w:t>
            </w:r>
          </w:p>
        </w:tc>
      </w:tr>
      <w:tr w:rsidR="009C29EC">
        <w:trPr>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jc w:val="center"/>
        </w:trPr>
        <w:tc>
          <w:tcPr>
            <w:tcW w:w="2834" w:type="dxa"/>
            <w:vAlign w:val="center"/>
          </w:tcPr>
          <w:p w:rsidR="009C29EC" w:rsidRDefault="008A0666">
            <w:pPr>
              <w:pStyle w:val="TableCell"/>
            </w:pPr>
            <w:r>
              <w:rPr>
                <w:sz w:val="22"/>
              </w:rPr>
              <w:t>Domain name (amortised)</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Farms per instance</w:t>
            </w:r>
          </w:p>
        </w:tc>
        <w:tc>
          <w:tcPr>
            <w:tcW w:w="2835" w:type="dxa"/>
            <w:vAlign w:val="center"/>
          </w:tcPr>
          <w:p w:rsidR="009C29EC" w:rsidRDefault="008A0666">
            <w:pPr>
              <w:pStyle w:val="TableCell"/>
            </w:pPr>
            <w:r>
              <w:rPr>
                <w:b/>
                <w:bCs/>
                <w:sz w:val="22"/>
              </w:rPr>
              <w:t>NGN / farm / month</w:t>
            </w:r>
          </w:p>
        </w:tc>
        <w:tc>
          <w:tcPr>
            <w:tcW w:w="2835" w:type="dxa"/>
            <w:vAlign w:val="center"/>
          </w:tcPr>
          <w:p w:rsidR="009C29EC" w:rsidRDefault="008A0666">
            <w:pPr>
              <w:pStyle w:val="TableCell"/>
            </w:pPr>
            <w:r>
              <w:rPr>
                <w:b/>
                <w:bCs/>
                <w:sz w:val="22"/>
              </w:rPr>
              <w:t>Assumption</w:t>
            </w:r>
          </w:p>
        </w:tc>
      </w:tr>
      <w:tr w:rsidR="009C29EC">
        <w:trPr>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4361"/>
      </w:tblGrid>
      <w:tr w:rsidR="00FF47E8" w:rsidTr="00980340">
        <w:tc>
          <w:tcPr>
            <w:tcW w:w="4360" w:type="dxa"/>
            <w:tcBorders>
              <w:bottom w:val="single" w:sz="4" w:space="0" w:color="auto"/>
            </w:tcBorders>
          </w:tcPr>
          <w:p w:rsidR="00FF47E8" w:rsidRPr="00AF0878" w:rsidRDefault="00AF0878">
            <w:pPr>
              <w:pStyle w:val="BodyPara"/>
              <w:spacing w:after="120" w:line="240" w:lineRule="auto"/>
              <w:rPr>
                <w:b/>
              </w:rPr>
            </w:pPr>
            <w:r w:rsidRPr="00AF0878">
              <w:rPr>
                <w:b/>
              </w:rPr>
              <w:t xml:space="preserve">Entity </w:t>
            </w:r>
          </w:p>
        </w:tc>
        <w:tc>
          <w:tcPr>
            <w:tcW w:w="4361" w:type="dxa"/>
            <w:tcBorders>
              <w:bottom w:val="single" w:sz="4" w:space="0" w:color="auto"/>
            </w:tcBorders>
          </w:tcPr>
          <w:p w:rsidR="00FF47E8" w:rsidRPr="00AF0878" w:rsidRDefault="00AF0878">
            <w:pPr>
              <w:pStyle w:val="BodyPara"/>
              <w:spacing w:after="120" w:line="240" w:lineRule="auto"/>
              <w:rPr>
                <w:b/>
              </w:rPr>
            </w:pPr>
            <w:r w:rsidRPr="00AF0878">
              <w:rPr>
                <w:b/>
              </w:rPr>
              <w:t>Role in the model</w:t>
            </w:r>
          </w:p>
        </w:tc>
      </w:tr>
      <w:tr w:rsidR="00FF47E8" w:rsidTr="00980340">
        <w:tc>
          <w:tcPr>
            <w:tcW w:w="4360" w:type="dxa"/>
            <w:tcBorders>
              <w:top w:val="single" w:sz="4" w:space="0" w:color="auto"/>
              <w:bottom w:val="nil"/>
            </w:tcBorders>
          </w:tcPr>
          <w:p w:rsidR="00FF47E8" w:rsidRDefault="0023781C">
            <w:pPr>
              <w:pStyle w:val="BodyPara"/>
              <w:spacing w:after="120" w:line="240" w:lineRule="auto"/>
            </w:pPr>
            <w:r>
              <w:t>Operational Log</w:t>
            </w:r>
          </w:p>
        </w:tc>
        <w:tc>
          <w:tcPr>
            <w:tcW w:w="4361" w:type="dxa"/>
            <w:tcBorders>
              <w:top w:val="single" w:sz="4" w:space="0" w:color="auto"/>
              <w:bottom w:val="nil"/>
            </w:tcBorders>
          </w:tcPr>
          <w:p w:rsidR="00FF47E8" w:rsidRDefault="0023781C">
            <w:pPr>
              <w:pStyle w:val="BodyPara"/>
              <w:spacing w:after="120" w:line="240" w:lineRule="auto"/>
            </w:pPr>
            <w:r>
              <w:t>Timestamped physical farm activity; the primary unit of operational entry.</w:t>
            </w:r>
          </w:p>
        </w:tc>
      </w:tr>
      <w:tr w:rsidR="00FF47E8" w:rsidTr="00980340">
        <w:tc>
          <w:tcPr>
            <w:tcW w:w="4360" w:type="dxa"/>
            <w:tcBorders>
              <w:top w:val="nil"/>
              <w:bottom w:val="nil"/>
            </w:tcBorders>
          </w:tcPr>
          <w:p w:rsidR="00FF47E8" w:rsidRDefault="0023781C">
            <w:pPr>
              <w:pStyle w:val="BodyPara"/>
              <w:spacing w:after="120" w:line="240" w:lineRule="auto"/>
            </w:pPr>
            <w:r>
              <w:t>Financial Transaction</w:t>
            </w:r>
          </w:p>
        </w:tc>
        <w:tc>
          <w:tcPr>
            <w:tcW w:w="4361" w:type="dxa"/>
            <w:tcBorders>
              <w:top w:val="nil"/>
              <w:bottom w:val="nil"/>
            </w:tcBorders>
          </w:tcPr>
          <w:p w:rsidR="00FF47E8" w:rsidRDefault="0023781C">
            <w:pPr>
              <w:pStyle w:val="BodyPara"/>
              <w:spacing w:after="120" w:line="240" w:lineRule="auto"/>
            </w:pPr>
            <w:r>
              <w:t>Expense or revenue record paired with an Operational Log via a shared Activity Category.</w:t>
            </w:r>
          </w:p>
        </w:tc>
      </w:tr>
      <w:tr w:rsidR="00FF47E8" w:rsidTr="00980340">
        <w:tc>
          <w:tcPr>
            <w:tcW w:w="4360" w:type="dxa"/>
            <w:tcBorders>
              <w:top w:val="nil"/>
              <w:bottom w:val="nil"/>
            </w:tcBorders>
          </w:tcPr>
          <w:p w:rsidR="00FF47E8" w:rsidRDefault="0023781C">
            <w:pPr>
              <w:pStyle w:val="BodyPara"/>
              <w:spacing w:after="120" w:line="240" w:lineRule="auto"/>
            </w:pPr>
            <w:r>
              <w:t>Equipment</w:t>
            </w:r>
          </w:p>
        </w:tc>
        <w:tc>
          <w:tcPr>
            <w:tcW w:w="4361" w:type="dxa"/>
            <w:tcBorders>
              <w:top w:val="nil"/>
              <w:bottom w:val="nil"/>
            </w:tcBorders>
          </w:tcPr>
          <w:p w:rsidR="00FF47E8" w:rsidRDefault="0023781C">
            <w:pPr>
              <w:pStyle w:val="BodyPara"/>
              <w:spacing w:after="120" w:line="240" w:lineRule="auto"/>
            </w:pPr>
            <w:r>
              <w:t>Machinery tracked for acquisition cost, depreciation, and maintenance.</w:t>
            </w:r>
          </w:p>
        </w:tc>
      </w:tr>
      <w:tr w:rsidR="00FF47E8" w:rsidTr="00980340">
        <w:tc>
          <w:tcPr>
            <w:tcW w:w="4360" w:type="dxa"/>
            <w:tcBorders>
              <w:top w:val="nil"/>
              <w:bottom w:val="nil"/>
            </w:tcBorders>
          </w:tcPr>
          <w:p w:rsidR="00FF47E8" w:rsidRDefault="00692B9E">
            <w:pPr>
              <w:pStyle w:val="BodyPara"/>
              <w:spacing w:after="120" w:line="240" w:lineRule="auto"/>
            </w:pPr>
            <w:r>
              <w:t>Maintenance Log</w:t>
            </w:r>
          </w:p>
        </w:tc>
        <w:tc>
          <w:tcPr>
            <w:tcW w:w="4361" w:type="dxa"/>
            <w:tcBorders>
              <w:top w:val="nil"/>
              <w:bottom w:val="nil"/>
            </w:tcBorders>
          </w:tcPr>
          <w:p w:rsidR="00FF47E8" w:rsidRDefault="00692B9E">
            <w:pPr>
              <w:pStyle w:val="BodyPara"/>
              <w:spacing w:after="120" w:line="240" w:lineRule="auto"/>
            </w:pPr>
            <w:r>
              <w:t>A service or repair event recorded against a specific Equipment item.</w:t>
            </w:r>
          </w:p>
        </w:tc>
      </w:tr>
      <w:tr w:rsidR="00FF47E8" w:rsidTr="00980340">
        <w:tc>
          <w:tcPr>
            <w:tcW w:w="4360" w:type="dxa"/>
            <w:tcBorders>
              <w:top w:val="nil"/>
              <w:bottom w:val="nil"/>
            </w:tcBorders>
          </w:tcPr>
          <w:p w:rsidR="00FF47E8" w:rsidRDefault="00692B9E">
            <w:pPr>
              <w:pStyle w:val="BodyPara"/>
              <w:spacing w:after="120" w:line="240" w:lineRule="auto"/>
            </w:pPr>
            <w:r>
              <w:t>Farm / User</w:t>
            </w:r>
          </w:p>
        </w:tc>
        <w:tc>
          <w:tcPr>
            <w:tcW w:w="4361" w:type="dxa"/>
            <w:tcBorders>
              <w:top w:val="nil"/>
              <w:bottom w:val="nil"/>
            </w:tcBorders>
          </w:tcPr>
          <w:p w:rsidR="00FF47E8" w:rsidRDefault="00692B9E">
            <w:pPr>
              <w:pStyle w:val="BodyPara"/>
              <w:spacing w:after="120" w:line="240" w:lineRule="auto"/>
            </w:pPr>
            <w:r>
              <w:t>Ownership boundary; scopes all records to a single enterprise (security design).</w:t>
            </w:r>
          </w:p>
        </w:tc>
      </w:tr>
      <w:tr w:rsidR="00FF47E8" w:rsidTr="00980340">
        <w:tc>
          <w:tcPr>
            <w:tcW w:w="4360" w:type="dxa"/>
            <w:tcBorders>
              <w:top w:val="nil"/>
              <w:bottom w:val="nil"/>
            </w:tcBorders>
          </w:tcPr>
          <w:p w:rsidR="00FF47E8" w:rsidRDefault="00692B9E">
            <w:pPr>
              <w:pStyle w:val="BodyPara"/>
              <w:spacing w:after="120" w:line="240" w:lineRule="auto"/>
            </w:pPr>
            <w:r>
              <w:t>Share Token</w:t>
            </w:r>
          </w:p>
        </w:tc>
        <w:tc>
          <w:tcPr>
            <w:tcW w:w="4361" w:type="dxa"/>
            <w:tcBorders>
              <w:top w:val="nil"/>
              <w:bottom w:val="nil"/>
            </w:tcBorders>
          </w:tcPr>
          <w:p w:rsidR="00FF47E8" w:rsidRDefault="00692B9E">
            <w:pPr>
              <w:pStyle w:val="BodyPara"/>
              <w:spacing w:after="120" w:line="240" w:lineRule="auto"/>
            </w:pPr>
            <w:r>
              <w:t>A revocable, expiring, read-only grant of access to one farm's standardised reports; stored only as a hash, never in clear.</w:t>
            </w:r>
          </w:p>
        </w:tc>
      </w:tr>
      <w:tr w:rsidR="00FF47E8" w:rsidTr="00980340">
        <w:tc>
          <w:tcPr>
            <w:tcW w:w="4360" w:type="dxa"/>
            <w:tcBorders>
              <w:top w:val="nil"/>
              <w:bottom w:val="nil"/>
            </w:tcBorders>
          </w:tcPr>
          <w:p w:rsidR="00FF47E8" w:rsidRDefault="00692B9E">
            <w:pPr>
              <w:pStyle w:val="BodyPara"/>
              <w:spacing w:after="120" w:line="240" w:lineRule="auto"/>
            </w:pPr>
            <w:r>
              <w:t>Reversal link (reverses_id)</w:t>
            </w:r>
          </w:p>
        </w:tc>
        <w:tc>
          <w:tcPr>
            <w:tcW w:w="4361" w:type="dxa"/>
            <w:tcBorders>
              <w:top w:val="nil"/>
              <w:bottom w:val="nil"/>
            </w:tcBorders>
          </w:tcPr>
          <w:p w:rsidR="00FF47E8" w:rsidRDefault="00692B9E">
            <w:pPr>
              <w:pStyle w:val="BodyPara"/>
              <w:spacing w:after="120" w:line="240" w:lineRule="auto"/>
            </w:pPr>
            <w:r>
              <w:t>A self-reference on Financial Transaction identifying the record a contra entry corrects; the mechanism by which the ledger is corrected without deletion.</w:t>
            </w:r>
          </w:p>
        </w:tc>
      </w:tr>
      <w:tr w:rsidR="00FF47E8" w:rsidTr="00980340">
        <w:tc>
          <w:tcPr>
            <w:tcW w:w="4360" w:type="dxa"/>
            <w:tcBorders>
              <w:top w:val="nil"/>
              <w:bottom w:val="nil"/>
            </w:tcBorders>
          </w:tcPr>
          <w:p w:rsidR="00FF47E8" w:rsidRDefault="00692B9E">
            <w:pPr>
              <w:pStyle w:val="BodyPara"/>
              <w:spacing w:after="120" w:line="240" w:lineRule="auto"/>
            </w:pPr>
            <w:r>
              <w:t>Crop attribute</w:t>
            </w:r>
          </w:p>
        </w:tc>
        <w:tc>
          <w:tcPr>
            <w:tcW w:w="4361" w:type="dxa"/>
            <w:tcBorders>
              <w:top w:val="nil"/>
              <w:bottom w:val="nil"/>
            </w:tcBorders>
          </w:tcPr>
          <w:p w:rsidR="00FF47E8" w:rsidRDefault="00692B9E">
            <w:pPr>
              <w:pStyle w:val="BodyPara"/>
              <w:spacing w:after="120" w:line="240" w:lineRule="auto"/>
            </w:pPr>
            <w:r>
              <w:t>A free-text crop label carried on the Operational Log and inherited by its paired Financial Transaction; the grouping key for all per-crop decision support.</w:t>
            </w:r>
          </w:p>
        </w:tc>
      </w:tr>
      <w:tr w:rsidR="00FF47E8" w:rsidTr="00980340">
        <w:tc>
          <w:tcPr>
            <w:tcW w:w="4360" w:type="dxa"/>
            <w:tcBorders>
              <w:top w:val="nil"/>
              <w:bottom w:val="nil"/>
            </w:tcBorders>
          </w:tcPr>
          <w:p w:rsidR="00FF47E8" w:rsidRDefault="00692B9E">
            <w:pPr>
              <w:pStyle w:val="BodyPara"/>
              <w:spacing w:after="120" w:line="240" w:lineRule="auto"/>
            </w:pPr>
            <w:r>
              <w:t>Client identifier (client_id)</w:t>
            </w:r>
          </w:p>
        </w:tc>
        <w:tc>
          <w:tcPr>
            <w:tcW w:w="4361" w:type="dxa"/>
            <w:tcBorders>
              <w:top w:val="nil"/>
              <w:bottom w:val="nil"/>
            </w:tcBorders>
          </w:tcPr>
          <w:p w:rsidR="00FF47E8" w:rsidRDefault="00692B9E">
            <w:pPr>
              <w:pStyle w:val="BodyPara"/>
              <w:spacing w:after="120" w:line="240" w:lineRule="auto"/>
            </w:pPr>
            <w:r>
              <w:t>A client-generated identifier carried by every queued record, giving the offline synchronisation path its idempotency.</w:t>
            </w:r>
          </w:p>
        </w:tc>
      </w:tr>
      <w:tr w:rsidR="00FF47E8" w:rsidTr="00980340">
        <w:tc>
          <w:tcPr>
            <w:tcW w:w="4360" w:type="dxa"/>
            <w:tcBorders>
              <w:top w:val="nil"/>
              <w:bottom w:val="nil"/>
            </w:tcBorders>
          </w:tcPr>
          <w:p w:rsidR="00FF47E8" w:rsidRDefault="00BE0ADA">
            <w:pPr>
              <w:pStyle w:val="BodyPara"/>
              <w:spacing w:after="120" w:line="240" w:lineRule="auto"/>
            </w:pPr>
            <w:r>
              <w:t>Drying run attributes</w:t>
            </w:r>
          </w:p>
        </w:tc>
        <w:tc>
          <w:tcPr>
            <w:tcW w:w="4361" w:type="dxa"/>
            <w:tcBorders>
              <w:top w:val="nil"/>
              <w:bottom w:val="nil"/>
            </w:tcBorders>
          </w:tcPr>
          <w:p w:rsidR="00FF47E8" w:rsidRDefault="00BE0ADA">
            <w:pPr>
              <w:pStyle w:val="BodyPara"/>
              <w:spacing w:after="120" w:line="240" w:lineRule="auto"/>
            </w:pPr>
            <w:r>
              <w:t>Mass in and out, initial and final moisture content, drying method, and optional time-and-moisture readings, recorded on an Operational Log of the post-harvest category.</w:t>
            </w:r>
          </w:p>
        </w:tc>
      </w:tr>
      <w:tr w:rsidR="00FF47E8" w:rsidTr="00980340">
        <w:tc>
          <w:tcPr>
            <w:tcW w:w="4360" w:type="dxa"/>
            <w:tcBorders>
              <w:top w:val="nil"/>
              <w:bottom w:val="single" w:sz="4" w:space="0" w:color="auto"/>
            </w:tcBorders>
          </w:tcPr>
          <w:p w:rsidR="00FF47E8" w:rsidRDefault="00BE0ADA">
            <w:pPr>
              <w:pStyle w:val="BodyPara"/>
              <w:spacing w:after="120" w:line="240" w:lineRule="auto"/>
            </w:pPr>
            <w:r>
              <w:t>Role and permissions</w:t>
            </w:r>
          </w:p>
        </w:tc>
        <w:tc>
          <w:tcPr>
            <w:tcW w:w="4361" w:type="dxa"/>
            <w:tcBorders>
              <w:top w:val="nil"/>
              <w:bottom w:val="single" w:sz="4" w:space="0" w:color="auto"/>
            </w:tcBorders>
          </w:tcPr>
          <w:p w:rsidR="00FF47E8" w:rsidRDefault="00BE0ADA">
            <w:pPr>
              <w:pStyle w:val="BodyPara"/>
              <w:spacing w:after="120" w:line="240" w:lineRule="auto"/>
            </w:pPr>
            <w:r>
              <w:t>The authorisation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Property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Pipeline (one-hot encoder + Random Forest regressor)</w:t>
            </w:r>
          </w:p>
        </w:tc>
      </w:tr>
      <w:tr w:rsidR="009C29EC">
        <w:trPr>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Rainfall, fertiliser used, soil pH, crop</w:t>
            </w:r>
          </w:p>
        </w:tc>
      </w:tr>
      <w:tr w:rsidR="009C29EC">
        <w:trPr>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jc w:val="center"/>
        </w:trPr>
        <w:tc>
          <w:tcPr>
            <w:tcW w:w="4252" w:type="dxa"/>
            <w:vAlign w:val="center"/>
          </w:tcPr>
          <w:p w:rsidR="009C29EC" w:rsidRDefault="008A0666">
            <w:pPr>
              <w:pStyle w:val="TableCell"/>
            </w:pPr>
            <w:r>
              <w:rPr>
                <w:sz w:val="22"/>
              </w:rPr>
              <w:t>Feature importances</w:t>
            </w:r>
          </w:p>
        </w:tc>
        <w:tc>
          <w:tcPr>
            <w:tcW w:w="4252" w:type="dxa"/>
            <w:vAlign w:val="center"/>
          </w:tcPr>
          <w:p w:rsidR="009C29EC" w:rsidRDefault="008A0666">
            <w:pPr>
              <w:pStyle w:val="TableCell"/>
            </w:pPr>
            <w:r>
              <w:rPr>
                <w:sz w:val="22"/>
              </w:rPr>
              <w:t>Crop 0.3445; rainfall 0.2845; soil pH 0.2479; fertiliser 0.1231</w:t>
            </w:r>
          </w:p>
        </w:tc>
      </w:tr>
      <w:tr w:rsidR="009C29EC">
        <w:trPr>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jc w:val="center"/>
        </w:trPr>
        <w:tc>
          <w:tcPr>
            <w:tcW w:w="4252" w:type="dxa"/>
          </w:tcPr>
          <w:p w:rsidR="00605853" w:rsidRDefault="00204124">
            <w:r>
              <w:t>Root mean square error (RMSE)</w:t>
            </w:r>
          </w:p>
        </w:tc>
        <w:tc>
          <w:tcPr>
            <w:tcW w:w="4252" w:type="dxa"/>
          </w:tcPr>
          <w:p w:rsidR="00605853" w:rsidRDefault="00204124">
            <w:r>
              <w:t>0.4883 t/ha (0.488334)</w:t>
            </w:r>
          </w:p>
        </w:tc>
      </w:tr>
      <w:tr w:rsidR="00605853">
        <w:trPr>
          <w:jc w:val="center"/>
        </w:trPr>
        <w:tc>
          <w:tcPr>
            <w:tcW w:w="4252" w:type="dxa"/>
          </w:tcPr>
          <w:p w:rsidR="00605853" w:rsidRDefault="00204124">
            <w:r>
              <w:t>Real farmer records used in training</w:t>
            </w:r>
          </w:p>
        </w:tc>
        <w:tc>
          <w:tcPr>
            <w:tcW w:w="4252" w:type="dxa"/>
          </w:tcPr>
          <w:p w:rsidR="00605853" w:rsidRDefault="00204124">
            <w:r>
              <w:t>None. Zero.</w:t>
            </w:r>
          </w:p>
        </w:tc>
      </w:tr>
      <w:tr w:rsidR="00605853">
        <w:trPr>
          <w:jc w:val="center"/>
        </w:trPr>
        <w:tc>
          <w:tcPr>
            <w:tcW w:w="4252" w:type="dxa"/>
          </w:tcPr>
          <w:p w:rsidR="00605853" w:rsidRDefault="00204124">
            <w:r>
              <w:t>Dataset fingerprint</w:t>
            </w:r>
          </w:p>
        </w:tc>
        <w:tc>
          <w:tcPr>
            <w:tcW w:w="4252" w:type="dxa"/>
          </w:tcPr>
          <w:p w:rsidR="00605853" w:rsidRDefault="00204124">
            <w:r>
              <w:t>sha256 a461b884afc9fafda953ff90cc2f75eb0d8608f2e58ad9d206fc215d7b6ba5bf</w:t>
            </w:r>
          </w:p>
        </w:tc>
      </w:tr>
      <w:tr w:rsidR="00605853">
        <w:trPr>
          <w:jc w:val="center"/>
        </w:trPr>
        <w:tc>
          <w:tcPr>
            <w:tcW w:w="4252" w:type="dxa"/>
          </w:tcPr>
          <w:p w:rsidR="00605853" w:rsidRDefault="00204124">
            <w:r>
              <w:t>Seeds</w:t>
            </w:r>
          </w:p>
        </w:tc>
        <w:tc>
          <w:tcPr>
            <w:tcW w:w="4252" w:type="dxa"/>
          </w:tcPr>
          <w:p w:rsidR="00605853" w:rsidRDefault="00204124">
            <w:r>
              <w:t>Generation seed 42; split test_size 0.2, split_random_state 42; model random_state 42</w:t>
            </w:r>
          </w:p>
        </w:tc>
      </w:tr>
      <w:tr w:rsidR="00605853">
        <w:trPr>
          <w:jc w:val="center"/>
        </w:trPr>
        <w:tc>
          <w:tcPr>
            <w:tcW w:w="4252" w:type="dxa"/>
          </w:tcPr>
          <w:p w:rsidR="00605853" w:rsidRDefault="00204124">
            <w:r>
              <w:t>Reproducibility</w:t>
            </w:r>
          </w:p>
        </w:tc>
        <w:tc>
          <w:tcPr>
            <w:tcW w:w="4252" w:type="dxa"/>
          </w:tcPr>
          <w:p w:rsidR="00605853" w:rsidRDefault="00204124">
            <w:r>
              <w:t xml:space="preserve">Re-derived by regenerating the dataset and refitting, not read from the sidecar; agreement to six decimal places; 18 reproducibility tests pass; agreement </w:t>
            </w:r>
            <w:r>
              <w:lastRenderedPageBreak/>
              <w:t>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tblHeader/>
          <w:jc w:val="center"/>
        </w:trPr>
        <w:tc>
          <w:tcPr>
            <w:tcW w:w="3645" w:type="dxa"/>
            <w:vAlign w:val="center"/>
          </w:tcPr>
          <w:p w:rsidR="009C29EC" w:rsidRDefault="008A0666">
            <w:pPr>
              <w:pStyle w:val="TableCell"/>
            </w:pPr>
            <w:r>
              <w:rPr>
                <w:b/>
                <w:bCs/>
                <w:sz w:val="22"/>
              </w:rPr>
              <w:t>Quantity</w:t>
            </w:r>
          </w:p>
        </w:tc>
        <w:tc>
          <w:tcPr>
            <w:tcW w:w="4859" w:type="dxa"/>
            <w:vAlign w:val="center"/>
          </w:tcPr>
          <w:p w:rsidR="009C29EC" w:rsidRDefault="008A0666">
            <w:pPr>
              <w:pStyle w:val="TableCell"/>
            </w:pPr>
            <w:r>
              <w:rPr>
                <w:b/>
                <w:bCs/>
                <w:sz w:val="22"/>
              </w:rPr>
              <w:t>Value</w:t>
            </w:r>
          </w:p>
        </w:tc>
      </w:tr>
      <w:tr w:rsidR="009C29EC">
        <w:trPr>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992" w:rsidRDefault="001F0992">
      <w:pPr>
        <w:spacing w:after="0" w:line="240" w:lineRule="auto"/>
      </w:pPr>
      <w:r>
        <w:separator/>
      </w:r>
    </w:p>
  </w:endnote>
  <w:endnote w:type="continuationSeparator" w:id="0">
    <w:p w:rsidR="001F0992" w:rsidRDefault="001F0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roman </w:instrText>
    </w:r>
    <w:r>
      <w:rPr>
        <w:szCs w:val="24"/>
      </w:rPr>
      <w:fldChar w:fldCharType="separate"/>
    </w:r>
    <w:r w:rsidR="005E41F6">
      <w:rPr>
        <w:noProof/>
        <w:szCs w:val="24"/>
      </w:rPr>
      <w:t>iv</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ARABIC </w:instrText>
    </w:r>
    <w:r>
      <w:rPr>
        <w:szCs w:val="24"/>
      </w:rPr>
      <w:fldChar w:fldCharType="separate"/>
    </w:r>
    <w:r w:rsidR="005E41F6">
      <w:rPr>
        <w:noProof/>
        <w:szCs w:val="24"/>
      </w:rPr>
      <w:t>3</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992" w:rsidRDefault="001F0992">
      <w:pPr>
        <w:spacing w:after="0" w:line="240" w:lineRule="auto"/>
      </w:pPr>
      <w:r>
        <w:separator/>
      </w:r>
    </w:p>
  </w:footnote>
  <w:footnote w:type="continuationSeparator" w:id="0">
    <w:p w:rsidR="001F0992" w:rsidRDefault="001F09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415103"/>
    <w:rsid w:val="00416C8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D4FFA"/>
    <w:rsid w:val="008F7550"/>
    <w:rsid w:val="00961D28"/>
    <w:rsid w:val="00980340"/>
    <w:rsid w:val="009C29EC"/>
    <w:rsid w:val="009E5C98"/>
    <w:rsid w:val="00A757D4"/>
    <w:rsid w:val="00A9561D"/>
    <w:rsid w:val="00AA1D8D"/>
    <w:rsid w:val="00AF0124"/>
    <w:rsid w:val="00AF0878"/>
    <w:rsid w:val="00B222E3"/>
    <w:rsid w:val="00B47730"/>
    <w:rsid w:val="00B51104"/>
    <w:rsid w:val="00B76A4D"/>
    <w:rsid w:val="00BA1859"/>
    <w:rsid w:val="00BE0ADA"/>
    <w:rsid w:val="00C07D64"/>
    <w:rsid w:val="00C97671"/>
    <w:rsid w:val="00CB0664"/>
    <w:rsid w:val="00CC69F0"/>
    <w:rsid w:val="00D760F9"/>
    <w:rsid w:val="00D97F0C"/>
    <w:rsid w:val="00D97F13"/>
    <w:rsid w:val="00DC4A65"/>
    <w:rsid w:val="00E073A6"/>
    <w:rsid w:val="00E2104B"/>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2589E1-114A-49FE-B5A6-E0834D6B8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29695</Words>
  <Characters>169265</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198563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56</cp:revision>
  <dcterms:created xsi:type="dcterms:W3CDTF">2013-12-23T23:15:00Z</dcterms:created>
  <dcterms:modified xsi:type="dcterms:W3CDTF">2026-09-03T03:55:00Z</dcterms:modified>
  <cp:category/>
</cp:coreProperties>
</file>