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 at the baseline commit</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Every figure, table and screenshot in this chapter is produced from a single implementation state: commit 8a29ee0aeed4d00b4caf9e58854821e80b6d403d on the main branch, dated 31 August 2026, referred to throughout as the baseline commit.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at the baseline commit.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 at the baseline commit</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1,302.00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At the baseline commit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at the baseline commit.</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at the baseline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at the baseline commit. Two findings carried by earlier drafts of Table A.1 of Appendix A have been withdrawn: the Olympic-average yield baseline and the entry form’s crop list were both reported as implemented-but-unreachable, and both are reachable at the baseline commit.</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At the baseline commit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at the baseline commit,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for the baseline commit: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 for the baseline commit.</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All evidence in this work is measured at</w:t>
      </w:r>
      <w:r w:rsidR="00C07D64">
        <w:t xml:space="preserve"> a single implementation state: </w:t>
      </w:r>
      <w:r>
        <w:t>commit 8a29ee0aeed4d00b4caf9e58854821e80b6d403d on the main branch, dated 31 August 2026, referred to as the baseline commit. Where a measurement was taken at an earlier commit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lastRenderedPageBreak/>
        <w:t>Structural integrity of the record. At the baseline commit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At the baseline commit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 for the baseline commit</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