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115D" w:rsidRDefault="00CF115D" w:rsidP="00CF115D"/>
    <w:p w:rsidR="00CF115D" w:rsidRDefault="00CF115D" w:rsidP="00CF115D"/>
    <w:p w:rsidR="00CF115D" w:rsidRDefault="00A53B63" w:rsidP="00CF115D">
      <w:pPr>
        <w:spacing w:after="240"/>
        <w:jc w:val="center"/>
      </w:pPr>
      <w:r>
        <w:rPr>
          <w:rFonts w:ascii="Times New Roman" w:eastAsia="Times New Roman" w:hAnsi="Times New Roman" w:cs="Times New Roman"/>
          <w:b/>
          <w:bCs/>
          <w:sz w:val="28"/>
          <w:szCs w:val="28"/>
        </w:rPr>
        <w:t>AGRI-PROFIT: FARM RECORD MANAGEMENT &amp; DECISION-SUPPORT PLATFORM</w:t>
      </w:r>
    </w:p>
    <w:p w:rsidR="00CF115D" w:rsidRDefault="00CF115D" w:rsidP="00CF115D"/>
    <w:p w:rsidR="00CF115D" w:rsidRDefault="00CF115D" w:rsidP="00CF115D"/>
    <w:p w:rsidR="00CF115D" w:rsidRDefault="00CF115D" w:rsidP="00CF115D">
      <w:pPr>
        <w:spacing w:after="120"/>
        <w:jc w:val="center"/>
      </w:pPr>
      <w:r>
        <w:rPr>
          <w:rFonts w:ascii="Times New Roman" w:eastAsia="Times New Roman" w:hAnsi="Times New Roman" w:cs="Times New Roman"/>
          <w:sz w:val="24"/>
          <w:szCs w:val="24"/>
        </w:rPr>
        <w:t>BY</w:t>
      </w:r>
    </w:p>
    <w:p w:rsidR="00CF115D" w:rsidRDefault="00CF115D" w:rsidP="00CF115D"/>
    <w:p w:rsidR="00CF115D" w:rsidRDefault="00A53B63" w:rsidP="00CF115D">
      <w:pPr>
        <w:spacing w:after="120"/>
        <w:jc w:val="center"/>
      </w:pPr>
      <w:r>
        <w:rPr>
          <w:rFonts w:ascii="Times New Roman" w:eastAsia="Times New Roman" w:hAnsi="Times New Roman" w:cs="Times New Roman"/>
          <w:b/>
          <w:bCs/>
          <w:sz w:val="24"/>
          <w:szCs w:val="24"/>
        </w:rPr>
        <w:t>ERHABOR ISRAEL ISIMA</w:t>
      </w:r>
    </w:p>
    <w:p w:rsidR="00CF115D" w:rsidRDefault="00A53B63" w:rsidP="00CF115D">
      <w:pPr>
        <w:spacing w:after="120"/>
        <w:jc w:val="center"/>
      </w:pPr>
      <w:r>
        <w:rPr>
          <w:rFonts w:ascii="Times New Roman" w:eastAsia="Times New Roman" w:hAnsi="Times New Roman" w:cs="Times New Roman"/>
          <w:sz w:val="24"/>
          <w:szCs w:val="24"/>
        </w:rPr>
        <w:t>(2021/1/83967</w:t>
      </w:r>
      <w:r w:rsidR="00CF115D">
        <w:rPr>
          <w:rFonts w:ascii="Times New Roman" w:eastAsia="Times New Roman" w:hAnsi="Times New Roman" w:cs="Times New Roman"/>
          <w:sz w:val="24"/>
          <w:szCs w:val="24"/>
        </w:rPr>
        <w:t>EA)</w:t>
      </w:r>
    </w:p>
    <w:p w:rsidR="00CF115D" w:rsidRDefault="00CF115D" w:rsidP="00CF115D"/>
    <w:p w:rsidR="00CF115D" w:rsidRDefault="00CF115D" w:rsidP="00CF115D"/>
    <w:p w:rsidR="00CF115D" w:rsidRDefault="00CF115D" w:rsidP="00CF115D">
      <w:pPr>
        <w:spacing w:after="120"/>
        <w:jc w:val="center"/>
      </w:pPr>
      <w:r>
        <w:rPr>
          <w:rFonts w:ascii="Times New Roman" w:eastAsia="Times New Roman" w:hAnsi="Times New Roman" w:cs="Times New Roman"/>
          <w:sz w:val="24"/>
          <w:szCs w:val="24"/>
        </w:rPr>
        <w:t xml:space="preserve">A Project Submitted to the Department of Agricultural and </w:t>
      </w:r>
      <w:r w:rsidR="001E1C20">
        <w:rPr>
          <w:rFonts w:ascii="Times New Roman" w:eastAsia="Times New Roman" w:hAnsi="Times New Roman" w:cs="Times New Roman"/>
          <w:sz w:val="24"/>
          <w:szCs w:val="24"/>
        </w:rPr>
        <w:t>Bio-resource</w:t>
      </w:r>
      <w:r>
        <w:rPr>
          <w:rFonts w:ascii="Times New Roman" w:eastAsia="Times New Roman" w:hAnsi="Times New Roman" w:cs="Times New Roman"/>
          <w:sz w:val="24"/>
          <w:szCs w:val="24"/>
        </w:rPr>
        <w:t xml:space="preserve"> Engineering,</w:t>
      </w:r>
    </w:p>
    <w:p w:rsidR="00CF115D" w:rsidRDefault="00CF115D" w:rsidP="00CF115D">
      <w:pPr>
        <w:spacing w:after="120"/>
        <w:jc w:val="center"/>
      </w:pPr>
      <w:r>
        <w:rPr>
          <w:rFonts w:ascii="Times New Roman" w:eastAsia="Times New Roman" w:hAnsi="Times New Roman" w:cs="Times New Roman"/>
          <w:sz w:val="24"/>
          <w:szCs w:val="24"/>
        </w:rPr>
        <w:t>School of Engineering and Engineering Technology,</w:t>
      </w:r>
    </w:p>
    <w:p w:rsidR="00CF115D" w:rsidRDefault="00CF115D" w:rsidP="00CF115D">
      <w:pPr>
        <w:spacing w:after="120"/>
        <w:jc w:val="center"/>
      </w:pPr>
      <w:r>
        <w:rPr>
          <w:rFonts w:ascii="Times New Roman" w:eastAsia="Times New Roman" w:hAnsi="Times New Roman" w:cs="Times New Roman"/>
          <w:sz w:val="24"/>
          <w:szCs w:val="24"/>
        </w:rPr>
        <w:t>Federal University of Technology, Minna,</w:t>
      </w:r>
      <w:bookmarkStart w:id="0" w:name="_GoBack"/>
      <w:bookmarkEnd w:id="0"/>
    </w:p>
    <w:p w:rsidR="00CF115D" w:rsidRDefault="00A53B63" w:rsidP="00CF115D">
      <w:pPr>
        <w:spacing w:after="120"/>
        <w:jc w:val="center"/>
      </w:pPr>
      <w:r>
        <w:rPr>
          <w:rFonts w:ascii="Times New Roman" w:eastAsia="Times New Roman" w:hAnsi="Times New Roman" w:cs="Times New Roman"/>
          <w:sz w:val="24"/>
          <w:szCs w:val="24"/>
        </w:rPr>
        <w:t>In</w:t>
      </w:r>
      <w:r w:rsidR="00CF115D">
        <w:rPr>
          <w:rFonts w:ascii="Times New Roman" w:eastAsia="Times New Roman" w:hAnsi="Times New Roman" w:cs="Times New Roman"/>
          <w:sz w:val="24"/>
          <w:szCs w:val="24"/>
        </w:rPr>
        <w:t xml:space="preserve"> Partial Fulfilment of the Requirements for the Award of the Degree of</w:t>
      </w:r>
    </w:p>
    <w:p w:rsidR="00CF115D" w:rsidRDefault="00CF115D" w:rsidP="00CF115D">
      <w:pPr>
        <w:spacing w:after="120"/>
        <w:jc w:val="center"/>
      </w:pPr>
      <w:r>
        <w:rPr>
          <w:rFonts w:ascii="Times New Roman" w:eastAsia="Times New Roman" w:hAnsi="Times New Roman" w:cs="Times New Roman"/>
          <w:b/>
          <w:bCs/>
          <w:sz w:val="24"/>
          <w:szCs w:val="24"/>
        </w:rPr>
        <w:t>Bachelor of Engineering (B.Eng.)</w:t>
      </w:r>
    </w:p>
    <w:p w:rsidR="00CF115D" w:rsidRDefault="00CF115D" w:rsidP="00CF115D"/>
    <w:p w:rsidR="00CF115D" w:rsidRDefault="00CF115D" w:rsidP="00CF115D"/>
    <w:p w:rsidR="00CF115D" w:rsidRDefault="00CF115D" w:rsidP="00CF115D">
      <w:pPr>
        <w:spacing w:after="120"/>
        <w:jc w:val="center"/>
      </w:pPr>
      <w:r>
        <w:rPr>
          <w:rFonts w:ascii="Times New Roman" w:eastAsia="Times New Roman" w:hAnsi="Times New Roman" w:cs="Times New Roman"/>
          <w:sz w:val="24"/>
          <w:szCs w:val="24"/>
        </w:rPr>
        <w:t>May, 2026</w:t>
      </w:r>
    </w:p>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 w:rsidR="00A53B63" w:rsidRDefault="00A53B63" w:rsidP="00A53B63">
      <w:pPr>
        <w:jc w:val="center"/>
        <w:rPr>
          <w:rFonts w:ascii="Times New Roman" w:eastAsia="Times New Roman" w:hAnsi="Times New Roman" w:cs="Times New Roman"/>
          <w:b/>
          <w:bCs/>
          <w:color w:val="1F1F1F"/>
          <w:kern w:val="0"/>
          <w:sz w:val="36"/>
          <w:szCs w:val="36"/>
          <w:lang w:eastAsia="en-GB"/>
          <w14:ligatures w14:val="none"/>
        </w:rPr>
      </w:pPr>
    </w:p>
    <w:p w:rsidR="00A53B63" w:rsidRPr="00A53B63" w:rsidRDefault="00A53B63" w:rsidP="00A53B63">
      <w:pPr>
        <w:jc w:val="center"/>
      </w:pPr>
      <w:r>
        <w:rPr>
          <w:rFonts w:ascii="Times New Roman" w:eastAsia="Times New Roman" w:hAnsi="Times New Roman" w:cs="Times New Roman"/>
          <w:b/>
          <w:bCs/>
          <w:color w:val="1F1F1F"/>
          <w:kern w:val="0"/>
          <w:sz w:val="36"/>
          <w:szCs w:val="36"/>
          <w:lang w:eastAsia="en-GB"/>
          <w14:ligatures w14:val="none"/>
        </w:rPr>
        <w:lastRenderedPageBreak/>
        <w:t>Chapter 1</w:t>
      </w:r>
    </w:p>
    <w:p w:rsidR="00624DB6" w:rsidRPr="00624DB6" w:rsidRDefault="00624DB6" w:rsidP="00624DB6">
      <w:pPr>
        <w:spacing w:before="100" w:beforeAutospacing="1" w:after="0" w:line="240" w:lineRule="auto"/>
        <w:outlineLvl w:val="1"/>
        <w:rPr>
          <w:rFonts w:ascii="Times New Roman" w:eastAsia="Times New Roman" w:hAnsi="Times New Roman" w:cs="Times New Roman"/>
          <w:b/>
          <w:bCs/>
          <w:color w:val="1F1F1F"/>
          <w:kern w:val="0"/>
          <w:sz w:val="36"/>
          <w:szCs w:val="36"/>
          <w:lang w:eastAsia="en-GB"/>
          <w14:ligatures w14:val="none"/>
        </w:rPr>
      </w:pPr>
      <w:r w:rsidRPr="00624DB6">
        <w:rPr>
          <w:rFonts w:ascii="Times New Roman" w:eastAsia="Times New Roman" w:hAnsi="Times New Roman" w:cs="Times New Roman"/>
          <w:b/>
          <w:bCs/>
          <w:color w:val="1F1F1F"/>
          <w:kern w:val="0"/>
          <w:sz w:val="36"/>
          <w:szCs w:val="36"/>
          <w:lang w:eastAsia="en-GB"/>
          <w14:ligatures w14:val="none"/>
        </w:rPr>
        <w:t>Introduction</w:t>
      </w:r>
    </w:p>
    <w:p w:rsidR="00624DB6" w:rsidRPr="00624DB6" w:rsidRDefault="00624DB6" w:rsidP="00624DB6">
      <w:pPr>
        <w:spacing w:before="100" w:beforeAutospacing="1"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624DB6">
        <w:rPr>
          <w:rFonts w:ascii="Times New Roman" w:eastAsia="Times New Roman" w:hAnsi="Times New Roman" w:cs="Times New Roman"/>
          <w:b/>
          <w:bCs/>
          <w:color w:val="1F1F1F"/>
          <w:kern w:val="0"/>
          <w:sz w:val="27"/>
          <w:szCs w:val="27"/>
          <w:lang w:eastAsia="en-GB"/>
          <w14:ligatures w14:val="none"/>
        </w:rPr>
        <w:t>1.1 Background to the Study</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The transition from traditional, subsistence-based farming to modern, mechanized agriculture has fundamentally shifted how farm enterprises are managed. In contemporary agricultural and bio</w:t>
      </w:r>
      <w:r w:rsidR="009B31F0">
        <w:rPr>
          <w:rFonts w:ascii="Times New Roman" w:eastAsia="Times New Roman" w:hAnsi="Times New Roman" w:cs="Times New Roman"/>
          <w:color w:val="1F1F1F"/>
          <w:kern w:val="0"/>
          <w:sz w:val="24"/>
          <w:szCs w:val="24"/>
          <w:lang w:eastAsia="en-GB"/>
          <w14:ligatures w14:val="none"/>
        </w:rPr>
        <w:t>-</w:t>
      </w:r>
      <w:r w:rsidRPr="00624DB6">
        <w:rPr>
          <w:rFonts w:ascii="Times New Roman" w:eastAsia="Times New Roman" w:hAnsi="Times New Roman" w:cs="Times New Roman"/>
          <w:color w:val="1F1F1F"/>
          <w:kern w:val="0"/>
          <w:sz w:val="24"/>
          <w:szCs w:val="24"/>
          <w:lang w:eastAsia="en-GB"/>
          <w14:ligatures w14:val="none"/>
        </w:rPr>
        <w:t>resources engineering, optimizing physical inputs—such as water, fertilizer, machinery hours, and feed—relies entirely on the accuracy of the data tracking those inputs. Farm Management Information Systems (FMIS) and Decision-Support Systems (DSS) have emerged as critical tools to bridge the gap between raw biological production and long-term economic viability.</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Historically, farm record management relied on fragmented, paper-based ledgers or informal memory-based tracking. However, institutional platforms like the Agriprofit benchmark system have demonstrated the profound value of structured data. By capturing multi-year economic and productive performance, such systems provide a standardized framework for </w:t>
      </w:r>
      <w:proofErr w:type="spellStart"/>
      <w:r w:rsidRPr="00624DB6">
        <w:rPr>
          <w:rFonts w:ascii="Times New Roman" w:eastAsia="Times New Roman" w:hAnsi="Times New Roman" w:cs="Times New Roman"/>
          <w:color w:val="1F1F1F"/>
          <w:kern w:val="0"/>
          <w:sz w:val="24"/>
          <w:szCs w:val="24"/>
          <w:lang w:eastAsia="en-GB"/>
          <w14:ligatures w14:val="none"/>
        </w:rPr>
        <w:t>analyzing</w:t>
      </w:r>
      <w:proofErr w:type="spellEnd"/>
      <w:r w:rsidRPr="00624DB6">
        <w:rPr>
          <w:rFonts w:ascii="Times New Roman" w:eastAsia="Times New Roman" w:hAnsi="Times New Roman" w:cs="Times New Roman"/>
          <w:color w:val="1F1F1F"/>
          <w:kern w:val="0"/>
          <w:sz w:val="24"/>
          <w:szCs w:val="24"/>
          <w:lang w:eastAsia="en-GB"/>
          <w14:ligatures w14:val="none"/>
        </w:rPr>
        <w:t xml:space="preserve"> the cost of production across diverse agricultural enterprises, from cow-calf operations to mixed cash crops (Alberta Agriculture and Forestry [AAF], 2018). Despite the proven necessity of these structural benchmarks in isolating enterprise-specific profitability (Lucio et al., 2024), the agricultural sector is currently undergoing a digital transformation aimed at moving from retrospective data collection—where farmers look back at historical performance—to real-time, automated decision support.</w:t>
      </w:r>
    </w:p>
    <w:p w:rsidR="00624DB6" w:rsidRPr="00624DB6" w:rsidRDefault="00624DB6" w:rsidP="00624DB6">
      <w:pPr>
        <w:spacing w:before="100" w:beforeAutospacing="1"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624DB6">
        <w:rPr>
          <w:rFonts w:ascii="Times New Roman" w:eastAsia="Times New Roman" w:hAnsi="Times New Roman" w:cs="Times New Roman"/>
          <w:b/>
          <w:bCs/>
          <w:color w:val="1F1F1F"/>
          <w:kern w:val="0"/>
          <w:sz w:val="27"/>
          <w:szCs w:val="27"/>
          <w:lang w:eastAsia="en-GB"/>
          <w14:ligatures w14:val="none"/>
        </w:rPr>
        <w:t>1.2 Statement of the Problem</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While the theoretical and financial benefits of comprehensive farm record-keeping are well established in agricultural economics, the practical adoption of these digital systems at the farm level remains severely restricted. Modern agricultural operations suffer from a high </w:t>
      </w:r>
      <w:r w:rsidRPr="00624DB6">
        <w:rPr>
          <w:rFonts w:ascii="Times New Roman" w:eastAsia="Times New Roman" w:hAnsi="Times New Roman" w:cs="Times New Roman"/>
          <w:color w:val="1F1F1F"/>
          <w:kern w:val="0"/>
          <w:sz w:val="24"/>
          <w:szCs w:val="24"/>
          <w:lang w:eastAsia="en-GB"/>
          <w14:ligatures w14:val="none"/>
        </w:rPr>
        <w:lastRenderedPageBreak/>
        <w:t>degree of data fragmentation. Hardware and machinery often utilize proprietary software that does not communicate with financial ledgers, leaving producers to manually stitch together disparate data streams.</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Furthermore, existing record-keeping systems frequently impose significant "data entry fatigue" and complexity, causing a vast majority of producers to heavily rely on manual or paper-based methods (</w:t>
      </w:r>
      <w:proofErr w:type="spellStart"/>
      <w:r w:rsidRPr="00624DB6">
        <w:rPr>
          <w:rFonts w:ascii="Times New Roman" w:eastAsia="Times New Roman" w:hAnsi="Times New Roman" w:cs="Times New Roman"/>
          <w:color w:val="1F1F1F"/>
          <w:kern w:val="0"/>
          <w:sz w:val="24"/>
          <w:szCs w:val="24"/>
          <w:lang w:eastAsia="en-GB"/>
          <w14:ligatures w14:val="none"/>
        </w:rPr>
        <w:t>Lazurko</w:t>
      </w:r>
      <w:proofErr w:type="spellEnd"/>
      <w:r w:rsidRPr="00624DB6">
        <w:rPr>
          <w:rFonts w:ascii="Times New Roman" w:eastAsia="Times New Roman" w:hAnsi="Times New Roman" w:cs="Times New Roman"/>
          <w:color w:val="1F1F1F"/>
          <w:kern w:val="0"/>
          <w:sz w:val="24"/>
          <w:szCs w:val="24"/>
          <w:lang w:eastAsia="en-GB"/>
          <w14:ligatures w14:val="none"/>
        </w:rPr>
        <w:t xml:space="preserve"> et al., 2024). Because of this barrier, many farmers rely on delayed, retrospective analysis that offers little value for immediate operational decisions. Crucially, this lack of standardized, real-time data creates severe information asymmetry between agricultural producers and external stakeholders. Without verifiable, transparent records detailing historical yields, operating margins, and profit/loss statements, agricultural banks and private investors struggle to accurately assess creditworthiness or farm valuation. This data deficit limits the flow of necessary capital into the agricultural sector and hinders governments from designing targeted, data-driven safety net programs (</w:t>
      </w:r>
      <w:proofErr w:type="spellStart"/>
      <w:r w:rsidRPr="00624DB6">
        <w:rPr>
          <w:rFonts w:ascii="Times New Roman" w:eastAsia="Times New Roman" w:hAnsi="Times New Roman" w:cs="Times New Roman"/>
          <w:color w:val="1F1F1F"/>
          <w:kern w:val="0"/>
          <w:sz w:val="24"/>
          <w:szCs w:val="24"/>
          <w:lang w:eastAsia="en-GB"/>
          <w14:ligatures w14:val="none"/>
        </w:rPr>
        <w:t>Ghoreishi</w:t>
      </w:r>
      <w:proofErr w:type="spellEnd"/>
      <w:r w:rsidRPr="00624DB6">
        <w:rPr>
          <w:rFonts w:ascii="Times New Roman" w:eastAsia="Times New Roman" w:hAnsi="Times New Roman" w:cs="Times New Roman"/>
          <w:color w:val="1F1F1F"/>
          <w:kern w:val="0"/>
          <w:sz w:val="24"/>
          <w:szCs w:val="24"/>
          <w:lang w:eastAsia="en-GB"/>
          <w14:ligatures w14:val="none"/>
        </w:rPr>
        <w:t xml:space="preserve"> et al., 2021). There is a critical engineering gap between institutional benchmarks and the need for interoperable platforms that can automate data capture and provide real-time decision support for both the producer and the financial ecosystem.</w:t>
      </w:r>
    </w:p>
    <w:p w:rsidR="00624DB6" w:rsidRPr="00624DB6" w:rsidRDefault="00624DB6" w:rsidP="00624DB6">
      <w:pPr>
        <w:spacing w:before="100" w:beforeAutospacing="1"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624DB6">
        <w:rPr>
          <w:rFonts w:ascii="Times New Roman" w:eastAsia="Times New Roman" w:hAnsi="Times New Roman" w:cs="Times New Roman"/>
          <w:b/>
          <w:bCs/>
          <w:color w:val="1F1F1F"/>
          <w:kern w:val="0"/>
          <w:sz w:val="27"/>
          <w:szCs w:val="27"/>
          <w:lang w:eastAsia="en-GB"/>
          <w14:ligatures w14:val="none"/>
        </w:rPr>
        <w:t>1.3 Objectives of the Study</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The primary objective of this study is to evaluate the structural framework of farm record management platforms and propose a modernized architecture for an agricultural Decision-Support System.</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The specific objectives are to:</w:t>
      </w:r>
    </w:p>
    <w:p w:rsidR="00624DB6" w:rsidRPr="00624DB6" w:rsidRDefault="00624DB6" w:rsidP="00624DB6">
      <w:pPr>
        <w:numPr>
          <w:ilvl w:val="0"/>
          <w:numId w:val="1"/>
        </w:numPr>
        <w:spacing w:before="100" w:beforeAutospacing="1" w:after="0" w:line="480" w:lineRule="auto"/>
        <w:ind w:left="0"/>
        <w:rPr>
          <w:rFonts w:ascii="Times New Roman" w:eastAsia="Times New Roman" w:hAnsi="Times New Roman" w:cs="Times New Roman"/>
          <w:color w:val="1F1F1F"/>
          <w:kern w:val="0"/>
          <w:sz w:val="24"/>
          <w:szCs w:val="24"/>
          <w:lang w:eastAsia="en-GB"/>
          <w14:ligatures w14:val="none"/>
        </w:rPr>
      </w:pPr>
      <w:proofErr w:type="spellStart"/>
      <w:r w:rsidRPr="00624DB6">
        <w:rPr>
          <w:rFonts w:ascii="Times New Roman" w:eastAsia="Times New Roman" w:hAnsi="Times New Roman" w:cs="Times New Roman"/>
          <w:color w:val="1F1F1F"/>
          <w:kern w:val="0"/>
          <w:sz w:val="24"/>
          <w:szCs w:val="24"/>
          <w:lang w:eastAsia="en-GB"/>
          <w14:ligatures w14:val="none"/>
        </w:rPr>
        <w:t>Analyze</w:t>
      </w:r>
      <w:proofErr w:type="spellEnd"/>
      <w:r w:rsidRPr="00624DB6">
        <w:rPr>
          <w:rFonts w:ascii="Times New Roman" w:eastAsia="Times New Roman" w:hAnsi="Times New Roman" w:cs="Times New Roman"/>
          <w:color w:val="1F1F1F"/>
          <w:kern w:val="0"/>
          <w:sz w:val="24"/>
          <w:szCs w:val="24"/>
          <w:lang w:eastAsia="en-GB"/>
          <w14:ligatures w14:val="none"/>
        </w:rPr>
        <w:t xml:space="preserve"> the core financial and physical data pillars utilized in established agricultural benchmarking systems like Agriprofit.</w:t>
      </w:r>
    </w:p>
    <w:p w:rsidR="00624DB6" w:rsidRPr="00624DB6" w:rsidRDefault="00624DB6" w:rsidP="00624DB6">
      <w:pPr>
        <w:numPr>
          <w:ilvl w:val="0"/>
          <w:numId w:val="1"/>
        </w:numPr>
        <w:spacing w:before="100" w:beforeAutospacing="1" w:after="0" w:line="480" w:lineRule="auto"/>
        <w:ind w:left="0"/>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lastRenderedPageBreak/>
        <w:t>Identify the socio-technical barriers—including interoperability, data fragmentation, and user complexity—that hinder the adoption of digital Farm Management Information Systems.</w:t>
      </w:r>
    </w:p>
    <w:p w:rsidR="00624DB6" w:rsidRPr="00624DB6" w:rsidRDefault="00624DB6" w:rsidP="00624DB6">
      <w:pPr>
        <w:numPr>
          <w:ilvl w:val="0"/>
          <w:numId w:val="1"/>
        </w:numPr>
        <w:spacing w:before="100" w:beforeAutospacing="1" w:after="0" w:line="480" w:lineRule="auto"/>
        <w:ind w:left="0"/>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Formulate a conceptual system architecture that translates static farm records into dynamic, actionable decision-support metrics for resource allocation and farm mechanization.</w:t>
      </w:r>
    </w:p>
    <w:p w:rsidR="00624DB6" w:rsidRPr="00624DB6" w:rsidRDefault="00624DB6" w:rsidP="00624DB6">
      <w:pPr>
        <w:numPr>
          <w:ilvl w:val="0"/>
          <w:numId w:val="1"/>
        </w:numPr>
        <w:spacing w:before="100" w:beforeAutospacing="1" w:after="0" w:line="480" w:lineRule="auto"/>
        <w:ind w:left="0"/>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Design a secure data-sharing framework within the platform architecture that standardizes yield and profit/loss reporting, serving as a verifiable analytical tool for agricultural banks, investors, and policymakers.</w:t>
      </w:r>
    </w:p>
    <w:p w:rsidR="00624DB6" w:rsidRPr="00624DB6" w:rsidRDefault="00624DB6" w:rsidP="00624DB6">
      <w:pPr>
        <w:spacing w:before="100" w:beforeAutospacing="1"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624DB6">
        <w:rPr>
          <w:rFonts w:ascii="Times New Roman" w:eastAsia="Times New Roman" w:hAnsi="Times New Roman" w:cs="Times New Roman"/>
          <w:b/>
          <w:bCs/>
          <w:color w:val="1F1F1F"/>
          <w:kern w:val="0"/>
          <w:sz w:val="27"/>
          <w:szCs w:val="27"/>
          <w:lang w:eastAsia="en-GB"/>
          <w14:ligatures w14:val="none"/>
        </w:rPr>
        <w:t>1.4 Justification of the Study</w:t>
      </w:r>
    </w:p>
    <w:p w:rsidR="00624DB6" w:rsidRP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The sustainability of modern agriculture depends on precision and capital access. From an engineering perspective, deploying advanced mechanization, automated irrigation, or precision agrochemical applicators is only viable if the farm's underlying economic and physical records justify the capital expenditure (Klein et al., 2012). For instance, evaluating the financial feasibility of Beneficial Management Practices (BMPs) requires exact baseline cost-of-production data to ensure these practices do not act as net drains on a producer's bottom line (Cost, 2015).</w:t>
      </w:r>
    </w:p>
    <w:p w:rsidR="00624DB6" w:rsidRPr="00624DB6" w:rsidRDefault="00624DB6" w:rsidP="00FC1135">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This study provides critical value by mapping how raw agricultural data is converted into managerial intelligence. By identifying the operational bottlenecks in current record-keeping platforms, this research lays the groundwork for developing more intuitive, automated systems. Beyond the immediate benefit to the farm operator in lowering production costs, a standardized, transparent platform acts as a critical de-risking tool for the broader agricultural economy. By structuring yield and financial data into verifiable formats, the proposed system provides agricultural banks and investors with the empirical evidence required to issue loans, underwrite insurance, and assess farm equity. Furthermore, it assists policymakers in </w:t>
      </w:r>
      <w:r w:rsidRPr="00624DB6">
        <w:rPr>
          <w:rFonts w:ascii="Times New Roman" w:eastAsia="Times New Roman" w:hAnsi="Times New Roman" w:cs="Times New Roman"/>
          <w:color w:val="1F1F1F"/>
          <w:kern w:val="0"/>
          <w:sz w:val="24"/>
          <w:szCs w:val="24"/>
          <w:lang w:eastAsia="en-GB"/>
          <w14:ligatures w14:val="none"/>
        </w:rPr>
        <w:lastRenderedPageBreak/>
        <w:t>deploying rapid, targeted interventions during multi-year climate disruptions. Ultimately, this study bridges the gap between on-farm mechanization and macro-level agricultural finance.</w:t>
      </w:r>
    </w:p>
    <w:p w:rsidR="00624DB6" w:rsidRPr="00624DB6" w:rsidRDefault="00624DB6" w:rsidP="00624DB6">
      <w:pPr>
        <w:spacing w:before="100" w:beforeAutospacing="1" w:after="0" w:line="240" w:lineRule="auto"/>
        <w:outlineLvl w:val="2"/>
        <w:rPr>
          <w:rFonts w:ascii="Times New Roman" w:eastAsia="Times New Roman" w:hAnsi="Times New Roman" w:cs="Times New Roman"/>
          <w:b/>
          <w:bCs/>
          <w:color w:val="1F1F1F"/>
          <w:kern w:val="0"/>
          <w:sz w:val="27"/>
          <w:szCs w:val="27"/>
          <w:lang w:eastAsia="en-GB"/>
          <w14:ligatures w14:val="none"/>
        </w:rPr>
      </w:pPr>
      <w:r w:rsidRPr="00624DB6">
        <w:rPr>
          <w:rFonts w:ascii="Times New Roman" w:eastAsia="Times New Roman" w:hAnsi="Times New Roman" w:cs="Times New Roman"/>
          <w:b/>
          <w:bCs/>
          <w:color w:val="1F1F1F"/>
          <w:kern w:val="0"/>
          <w:sz w:val="27"/>
          <w:szCs w:val="27"/>
          <w:lang w:eastAsia="en-GB"/>
          <w14:ligatures w14:val="none"/>
        </w:rPr>
        <w:t>1.5 Scope of the Study</w:t>
      </w:r>
    </w:p>
    <w:p w:rsidR="00624DB6" w:rsidRDefault="00624DB6"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This study focuses on the intersection of agricultural economics, system design, and decision-support architecture. It utilizes the established structural methodologies of institutional benchmarking programs to define the necessary parameters for effective farm record management. The research scopes the technological and </w:t>
      </w:r>
      <w:proofErr w:type="spellStart"/>
      <w:r w:rsidRPr="00624DB6">
        <w:rPr>
          <w:rFonts w:ascii="Times New Roman" w:eastAsia="Times New Roman" w:hAnsi="Times New Roman" w:cs="Times New Roman"/>
          <w:color w:val="1F1F1F"/>
          <w:kern w:val="0"/>
          <w:sz w:val="24"/>
          <w:szCs w:val="24"/>
          <w:lang w:eastAsia="en-GB"/>
          <w14:ligatures w14:val="none"/>
        </w:rPr>
        <w:t>behavioral</w:t>
      </w:r>
      <w:proofErr w:type="spellEnd"/>
      <w:r w:rsidRPr="00624DB6">
        <w:rPr>
          <w:rFonts w:ascii="Times New Roman" w:eastAsia="Times New Roman" w:hAnsi="Times New Roman" w:cs="Times New Roman"/>
          <w:color w:val="1F1F1F"/>
          <w:kern w:val="0"/>
          <w:sz w:val="24"/>
          <w:szCs w:val="24"/>
          <w:lang w:eastAsia="en-GB"/>
          <w14:ligatures w14:val="none"/>
        </w:rPr>
        <w:t xml:space="preserve"> challenges of digital adoption at the farm level, specifically looking at data fragmentation and system interoperability. While it touches upon the economic outputs of agricultural production, the primary lens is analytical and system-oriented, evaluating how data flows from the physical farm environment into a structured Decision-Support System.</w:t>
      </w: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A53B63" w:rsidRPr="00624DB6" w:rsidRDefault="00A53B63" w:rsidP="00624DB6">
      <w:pPr>
        <w:spacing w:before="100" w:beforeAutospacing="1" w:after="0" w:line="480" w:lineRule="auto"/>
        <w:rPr>
          <w:rFonts w:ascii="Times New Roman" w:eastAsia="Times New Roman" w:hAnsi="Times New Roman" w:cs="Times New Roman"/>
          <w:color w:val="1F1F1F"/>
          <w:kern w:val="0"/>
          <w:sz w:val="24"/>
          <w:szCs w:val="24"/>
          <w:lang w:eastAsia="en-GB"/>
          <w14:ligatures w14:val="none"/>
        </w:rPr>
      </w:pPr>
    </w:p>
    <w:p w:rsidR="00624DB6" w:rsidRPr="00624DB6" w:rsidRDefault="00624DB6" w:rsidP="00624DB6">
      <w:pPr>
        <w:spacing w:before="100" w:beforeAutospacing="1" w:after="0" w:line="240" w:lineRule="auto"/>
        <w:outlineLvl w:val="1"/>
        <w:rPr>
          <w:rFonts w:ascii="Times New Roman" w:eastAsia="Times New Roman" w:hAnsi="Times New Roman" w:cs="Times New Roman"/>
          <w:b/>
          <w:bCs/>
          <w:color w:val="1F1F1F"/>
          <w:kern w:val="0"/>
          <w:sz w:val="36"/>
          <w:szCs w:val="36"/>
          <w:lang w:eastAsia="en-GB"/>
          <w14:ligatures w14:val="none"/>
        </w:rPr>
      </w:pPr>
      <w:r w:rsidRPr="00624DB6">
        <w:rPr>
          <w:rFonts w:ascii="Times New Roman" w:eastAsia="Times New Roman" w:hAnsi="Times New Roman" w:cs="Times New Roman"/>
          <w:b/>
          <w:bCs/>
          <w:color w:val="1F1F1F"/>
          <w:kern w:val="0"/>
          <w:sz w:val="36"/>
          <w:szCs w:val="36"/>
          <w:lang w:eastAsia="en-GB"/>
          <w14:ligatures w14:val="none"/>
        </w:rPr>
        <w:t>References</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Alberta Agriculture and Forestry. (2018). </w:t>
      </w:r>
      <w:proofErr w:type="spellStart"/>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AgriProfit</w:t>
      </w:r>
      <w:proofErr w:type="spellEnd"/>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$—22 year economic, productive, and financial performance of Alberta cow/calf operations (1995–2016)</w:t>
      </w:r>
      <w:r w:rsidRPr="00624DB6">
        <w:rPr>
          <w:rFonts w:ascii="Times New Roman" w:eastAsia="Times New Roman" w:hAnsi="Times New Roman" w:cs="Times New Roman"/>
          <w:color w:val="1F1F1F"/>
          <w:kern w:val="0"/>
          <w:sz w:val="24"/>
          <w:szCs w:val="24"/>
          <w:lang w:eastAsia="en-GB"/>
          <w14:ligatures w14:val="none"/>
        </w:rPr>
        <w:t>. Government of Alberta.</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Cost, D. F. (2015). Monte Carlo simulation of beneficial management practices on representative Alberta cropping farms. </w:t>
      </w:r>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Project Report - University of Alberta</w:t>
      </w:r>
      <w:r w:rsidRPr="00624DB6">
        <w:rPr>
          <w:rFonts w:ascii="Times New Roman" w:eastAsia="Times New Roman" w:hAnsi="Times New Roman" w:cs="Times New Roman"/>
          <w:color w:val="1F1F1F"/>
          <w:kern w:val="0"/>
          <w:sz w:val="24"/>
          <w:szCs w:val="24"/>
          <w:lang w:eastAsia="en-GB"/>
          <w14:ligatures w14:val="none"/>
        </w:rPr>
        <w:t>.</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proofErr w:type="spellStart"/>
      <w:r w:rsidRPr="00624DB6">
        <w:rPr>
          <w:rFonts w:ascii="Times New Roman" w:eastAsia="Times New Roman" w:hAnsi="Times New Roman" w:cs="Times New Roman"/>
          <w:color w:val="1F1F1F"/>
          <w:kern w:val="0"/>
          <w:sz w:val="24"/>
          <w:szCs w:val="24"/>
          <w:lang w:eastAsia="en-GB"/>
          <w14:ligatures w14:val="none"/>
        </w:rPr>
        <w:t>Ghoreishi</w:t>
      </w:r>
      <w:proofErr w:type="spellEnd"/>
      <w:r w:rsidRPr="00624DB6">
        <w:rPr>
          <w:rFonts w:ascii="Times New Roman" w:eastAsia="Times New Roman" w:hAnsi="Times New Roman" w:cs="Times New Roman"/>
          <w:color w:val="1F1F1F"/>
          <w:kern w:val="0"/>
          <w:sz w:val="24"/>
          <w:szCs w:val="24"/>
          <w:lang w:eastAsia="en-GB"/>
          <w14:ligatures w14:val="none"/>
        </w:rPr>
        <w:t xml:space="preserve">, M., </w:t>
      </w:r>
      <w:proofErr w:type="spellStart"/>
      <w:r w:rsidRPr="00624DB6">
        <w:rPr>
          <w:rFonts w:ascii="Times New Roman" w:eastAsia="Times New Roman" w:hAnsi="Times New Roman" w:cs="Times New Roman"/>
          <w:color w:val="1F1F1F"/>
          <w:kern w:val="0"/>
          <w:sz w:val="24"/>
          <w:szCs w:val="24"/>
          <w:lang w:eastAsia="en-GB"/>
          <w14:ligatures w14:val="none"/>
        </w:rPr>
        <w:t>Razavi</w:t>
      </w:r>
      <w:proofErr w:type="spellEnd"/>
      <w:r w:rsidRPr="00624DB6">
        <w:rPr>
          <w:rFonts w:ascii="Times New Roman" w:eastAsia="Times New Roman" w:hAnsi="Times New Roman" w:cs="Times New Roman"/>
          <w:color w:val="1F1F1F"/>
          <w:kern w:val="0"/>
          <w:sz w:val="24"/>
          <w:szCs w:val="24"/>
          <w:lang w:eastAsia="en-GB"/>
          <w14:ligatures w14:val="none"/>
        </w:rPr>
        <w:t xml:space="preserve">, S., &amp; </w:t>
      </w:r>
      <w:proofErr w:type="spellStart"/>
      <w:r w:rsidRPr="00624DB6">
        <w:rPr>
          <w:rFonts w:ascii="Times New Roman" w:eastAsia="Times New Roman" w:hAnsi="Times New Roman" w:cs="Times New Roman"/>
          <w:color w:val="1F1F1F"/>
          <w:kern w:val="0"/>
          <w:sz w:val="24"/>
          <w:szCs w:val="24"/>
          <w:lang w:eastAsia="en-GB"/>
          <w14:ligatures w14:val="none"/>
        </w:rPr>
        <w:t>Elshorbagy</w:t>
      </w:r>
      <w:proofErr w:type="spellEnd"/>
      <w:r w:rsidRPr="00624DB6">
        <w:rPr>
          <w:rFonts w:ascii="Times New Roman" w:eastAsia="Times New Roman" w:hAnsi="Times New Roman" w:cs="Times New Roman"/>
          <w:color w:val="1F1F1F"/>
          <w:kern w:val="0"/>
          <w:sz w:val="24"/>
          <w:szCs w:val="24"/>
          <w:lang w:eastAsia="en-GB"/>
          <w14:ligatures w14:val="none"/>
        </w:rPr>
        <w:t xml:space="preserve">, A. (2021). Understanding human adaptation to drought: Agent-based agricultural water demand </w:t>
      </w:r>
      <w:proofErr w:type="spellStart"/>
      <w:r w:rsidRPr="00624DB6">
        <w:rPr>
          <w:rFonts w:ascii="Times New Roman" w:eastAsia="Times New Roman" w:hAnsi="Times New Roman" w:cs="Times New Roman"/>
          <w:color w:val="1F1F1F"/>
          <w:kern w:val="0"/>
          <w:sz w:val="24"/>
          <w:szCs w:val="24"/>
          <w:lang w:eastAsia="en-GB"/>
          <w14:ligatures w14:val="none"/>
        </w:rPr>
        <w:t>modeling</w:t>
      </w:r>
      <w:proofErr w:type="spellEnd"/>
      <w:r w:rsidRPr="00624DB6">
        <w:rPr>
          <w:rFonts w:ascii="Times New Roman" w:eastAsia="Times New Roman" w:hAnsi="Times New Roman" w:cs="Times New Roman"/>
          <w:color w:val="1F1F1F"/>
          <w:kern w:val="0"/>
          <w:sz w:val="24"/>
          <w:szCs w:val="24"/>
          <w:lang w:eastAsia="en-GB"/>
          <w14:ligatures w14:val="none"/>
        </w:rPr>
        <w:t xml:space="preserve"> in the Bow River Basin, Canada. </w:t>
      </w:r>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Hydrological Sciences Journal</w:t>
      </w:r>
      <w:r w:rsidRPr="00624DB6">
        <w:rPr>
          <w:rFonts w:ascii="Times New Roman" w:eastAsia="Times New Roman" w:hAnsi="Times New Roman" w:cs="Times New Roman"/>
          <w:color w:val="1F1F1F"/>
          <w:kern w:val="0"/>
          <w:sz w:val="24"/>
          <w:szCs w:val="24"/>
          <w:lang w:eastAsia="en-GB"/>
          <w14:ligatures w14:val="none"/>
        </w:rPr>
        <w:t>, 66(3), 389-407.</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Klein, K. K., Yan, W., &amp; Le Roy, D. G. G. (2012). Estimating the incremental gross margins due to irrigation water in Southern Alberta. </w:t>
      </w:r>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Canadian Water Resources Journal</w:t>
      </w:r>
      <w:r w:rsidRPr="00624DB6">
        <w:rPr>
          <w:rFonts w:ascii="Times New Roman" w:eastAsia="Times New Roman" w:hAnsi="Times New Roman" w:cs="Times New Roman"/>
          <w:color w:val="1F1F1F"/>
          <w:kern w:val="0"/>
          <w:sz w:val="24"/>
          <w:szCs w:val="24"/>
          <w:lang w:eastAsia="en-GB"/>
          <w14:ligatures w14:val="none"/>
        </w:rPr>
        <w:t>, 37(2), 89-103.</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proofErr w:type="spellStart"/>
      <w:r w:rsidRPr="00624DB6">
        <w:rPr>
          <w:rFonts w:ascii="Times New Roman" w:eastAsia="Times New Roman" w:hAnsi="Times New Roman" w:cs="Times New Roman"/>
          <w:color w:val="1F1F1F"/>
          <w:kern w:val="0"/>
          <w:sz w:val="24"/>
          <w:szCs w:val="24"/>
          <w:lang w:eastAsia="en-GB"/>
          <w14:ligatures w14:val="none"/>
        </w:rPr>
        <w:t>Lazurko</w:t>
      </w:r>
      <w:proofErr w:type="spellEnd"/>
      <w:r w:rsidRPr="00624DB6">
        <w:rPr>
          <w:rFonts w:ascii="Times New Roman" w:eastAsia="Times New Roman" w:hAnsi="Times New Roman" w:cs="Times New Roman"/>
          <w:color w:val="1F1F1F"/>
          <w:kern w:val="0"/>
          <w:sz w:val="24"/>
          <w:szCs w:val="24"/>
          <w:lang w:eastAsia="en-GB"/>
          <w14:ligatures w14:val="none"/>
        </w:rPr>
        <w:t xml:space="preserve">, M. M., Erickson, N. E. N., Campbell, J. R., Larson, K., &amp; Waldner, C. L. (2024). Technology adoption and management practices used in Canadian cow-calf herds. </w:t>
      </w:r>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Canadian Journal of Animal Science</w:t>
      </w:r>
      <w:r w:rsidRPr="00624DB6">
        <w:rPr>
          <w:rFonts w:ascii="Times New Roman" w:eastAsia="Times New Roman" w:hAnsi="Times New Roman" w:cs="Times New Roman"/>
          <w:color w:val="1F1F1F"/>
          <w:kern w:val="0"/>
          <w:sz w:val="24"/>
          <w:szCs w:val="24"/>
          <w:lang w:eastAsia="en-GB"/>
          <w14:ligatures w14:val="none"/>
        </w:rPr>
        <w:t>, 104(4), 524-539.</w:t>
      </w:r>
    </w:p>
    <w:p w:rsidR="00624DB6" w:rsidRPr="00624DB6" w:rsidRDefault="00624DB6" w:rsidP="00624DB6">
      <w:pPr>
        <w:spacing w:before="100" w:beforeAutospacing="1" w:after="0" w:line="240" w:lineRule="auto"/>
        <w:rPr>
          <w:rFonts w:ascii="Times New Roman" w:eastAsia="Times New Roman" w:hAnsi="Times New Roman" w:cs="Times New Roman"/>
          <w:color w:val="1F1F1F"/>
          <w:kern w:val="0"/>
          <w:sz w:val="24"/>
          <w:szCs w:val="24"/>
          <w:lang w:eastAsia="en-GB"/>
          <w14:ligatures w14:val="none"/>
        </w:rPr>
      </w:pPr>
      <w:r w:rsidRPr="00624DB6">
        <w:rPr>
          <w:rFonts w:ascii="Times New Roman" w:eastAsia="Times New Roman" w:hAnsi="Times New Roman" w:cs="Times New Roman"/>
          <w:color w:val="1F1F1F"/>
          <w:kern w:val="0"/>
          <w:sz w:val="24"/>
          <w:szCs w:val="24"/>
          <w:lang w:eastAsia="en-GB"/>
          <w14:ligatures w14:val="none"/>
        </w:rPr>
        <w:t xml:space="preserve">Lucio, C., </w:t>
      </w:r>
      <w:proofErr w:type="spellStart"/>
      <w:r w:rsidRPr="00624DB6">
        <w:rPr>
          <w:rFonts w:ascii="Times New Roman" w:eastAsia="Times New Roman" w:hAnsi="Times New Roman" w:cs="Times New Roman"/>
          <w:color w:val="1F1F1F"/>
          <w:kern w:val="0"/>
          <w:sz w:val="24"/>
          <w:szCs w:val="24"/>
          <w:lang w:eastAsia="en-GB"/>
          <w14:ligatures w14:val="none"/>
        </w:rPr>
        <w:t>Windeyer</w:t>
      </w:r>
      <w:proofErr w:type="spellEnd"/>
      <w:r w:rsidRPr="00624DB6">
        <w:rPr>
          <w:rFonts w:ascii="Times New Roman" w:eastAsia="Times New Roman" w:hAnsi="Times New Roman" w:cs="Times New Roman"/>
          <w:color w:val="1F1F1F"/>
          <w:kern w:val="0"/>
          <w:sz w:val="24"/>
          <w:szCs w:val="24"/>
          <w:lang w:eastAsia="en-GB"/>
          <w14:ligatures w14:val="none"/>
        </w:rPr>
        <w:t xml:space="preserve">, M. C., Larson, K., </w:t>
      </w:r>
      <w:proofErr w:type="spellStart"/>
      <w:r w:rsidRPr="00624DB6">
        <w:rPr>
          <w:rFonts w:ascii="Times New Roman" w:eastAsia="Times New Roman" w:hAnsi="Times New Roman" w:cs="Times New Roman"/>
          <w:color w:val="1F1F1F"/>
          <w:kern w:val="0"/>
          <w:sz w:val="24"/>
          <w:szCs w:val="24"/>
          <w:lang w:eastAsia="en-GB"/>
          <w14:ligatures w14:val="none"/>
        </w:rPr>
        <w:t>Pajor</w:t>
      </w:r>
      <w:proofErr w:type="spellEnd"/>
      <w:r w:rsidRPr="00624DB6">
        <w:rPr>
          <w:rFonts w:ascii="Times New Roman" w:eastAsia="Times New Roman" w:hAnsi="Times New Roman" w:cs="Times New Roman"/>
          <w:color w:val="1F1F1F"/>
          <w:kern w:val="0"/>
          <w:sz w:val="24"/>
          <w:szCs w:val="24"/>
          <w:lang w:eastAsia="en-GB"/>
          <w14:ligatures w14:val="none"/>
        </w:rPr>
        <w:t xml:space="preserve">, E. A., &amp; Pearson, J. M. (2024). Economic analysis of calving assistance on Western Canadian cow-calf operations. </w:t>
      </w:r>
      <w:r w:rsidRPr="00624DB6">
        <w:rPr>
          <w:rFonts w:ascii="Times New Roman" w:eastAsia="Times New Roman" w:hAnsi="Times New Roman" w:cs="Times New Roman"/>
          <w:i/>
          <w:iCs/>
          <w:color w:val="1F1F1F"/>
          <w:kern w:val="0"/>
          <w:sz w:val="24"/>
          <w:szCs w:val="24"/>
          <w:bdr w:val="none" w:sz="0" w:space="0" w:color="auto" w:frame="1"/>
          <w:lang w:eastAsia="en-GB"/>
          <w14:ligatures w14:val="none"/>
        </w:rPr>
        <w:t>Journal of Agricultural and Applied Economics</w:t>
      </w:r>
      <w:r w:rsidRPr="00624DB6">
        <w:rPr>
          <w:rFonts w:ascii="Times New Roman" w:eastAsia="Times New Roman" w:hAnsi="Times New Roman" w:cs="Times New Roman"/>
          <w:color w:val="1F1F1F"/>
          <w:kern w:val="0"/>
          <w:sz w:val="24"/>
          <w:szCs w:val="24"/>
          <w:lang w:eastAsia="en-GB"/>
          <w14:ligatures w14:val="none"/>
        </w:rPr>
        <w:t>, 56(2), 297–309.</w:t>
      </w:r>
    </w:p>
    <w:p w:rsidR="006C753A" w:rsidRDefault="006C753A"/>
    <w:sectPr w:rsidR="006C7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EA3FF8"/>
    <w:multiLevelType w:val="multilevel"/>
    <w:tmpl w:val="A3F0C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4DB6"/>
    <w:rsid w:val="001E1C20"/>
    <w:rsid w:val="00624DB6"/>
    <w:rsid w:val="006C753A"/>
    <w:rsid w:val="009B31F0"/>
    <w:rsid w:val="00A53B63"/>
    <w:rsid w:val="00CF115D"/>
    <w:rsid w:val="00D336C7"/>
    <w:rsid w:val="00D93D2D"/>
    <w:rsid w:val="00E464DB"/>
    <w:rsid w:val="00FA05BD"/>
    <w:rsid w:val="00FC11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70B254-A90F-4CD4-B6EF-B32648FF1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24DB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624DB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24DB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624DB6"/>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624DB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120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18</cp:revision>
  <dcterms:created xsi:type="dcterms:W3CDTF">2026-05-28T17:50:00Z</dcterms:created>
  <dcterms:modified xsi:type="dcterms:W3CDTF">2026-05-28T18:34:00Z</dcterms:modified>
</cp:coreProperties>
</file>