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both recorded implementation states returned 426 collected backend cases — 422 passed, 4 skipped, none failed — at 96% statement coverage over 1,601 statements, with 148 frontend tests at 42.14% statement coverage, and the drying model recovered its designed parameters to within one part in ten thousand.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t>at a two-hundred-farm tenancy. The usability evaluation was not conducted and no System Usability Scale score is reported, so that objective is only partially achieved,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pPr>
        <w:pStyle w:val="TOC1"/>
        <w:tabs>
          <w:tab w:val="right" w:leader="dot" w:pos="8503"/>
        </w:tabs>
      </w:pPr>
      <w:r>
        <w:t xml:space="preserve">APPENDIX G: THE TWO IMPLEMENTATION STATES</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pPr>
        <w:pStyle w:val="TOC1"/>
        <w:tabs>
          <w:tab w:val="right" w:leader="dot" w:pos="8503"/>
        </w:tabs>
      </w:pPr>
      <w:r>
        <w:t>Table G.1: The two implementation states and what was captured at each</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farm-scoped writes and on any change of authenticated identity, because a caching layer that survives a correction would make the application misreport its own state. One path is not covered: correcting an existing equipment record does not purge, so the reads derived from the depreciation overlay may be served stale until the cache entry expires or another write purges it.</w:t>
      </w:r>
      <w:r w:rsidR="00604EE9">
        <w:rPr>
          <w:szCs w:val="24"/>
        </w:rPr>
        <w:t xml:space="preserv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realising the first and third rungs of the ladder set out in Section 2.6.3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Tier 3 – Statistical yield forecast (optional). A Random Forest regressor produces a yield estimate from agronomic inputs such as rainfall, fertiliser, and soil pH, reported with the coefficient of determination, mean absolute error and root mean square error. Each forecast carries a dispersion measure computed across the individual trees of the ensemble and reported as a confidence percentage and as an interval about the ensemble mean. That measure indicates how far the trees agree with one another. It is not a calibrated prediction interval, and Section 5.2.3 sets out the established methods that would produce one (Meinshausen, 2006; Wager et al., 2014).</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partially achieved.</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nine quantities from the ledger the platform actually holds, with no model, no estimation and no external data. This section reports its output against the seeded demonstration farm.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1,301.98</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on 7 September 2026.</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on 7 September 2026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t>computed, verified, served and invisible; that finding is withdrawn, and all six enterprise-economics endpoints are reachable in the interface. Two findings carried by earlier drafts of Table A.1 of Appendix A have been withdrawn: the Olympic-average yield baseline and the entry form’s crop list were both reported as implemented-but-unreachable, and both are reachable.</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On 29 August 2026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suite as run on 7 September 2026 collected 426 backend cases: 422 passed, 4 skipped and none failed, at 96% statement coverage over 1,601 statements. The four skipped are the migration cases that require a real PostgreSQL server rather than SQLite; they were executed separately and in full against PostgreSQL 15.18, as Table B.2 of Appendix B records. The frontend suite contributes 148 tests at 42.14% statement coverage, the lower figure reflecting the page and form components noted below. These are the counts summarised against Objective 4 in Table 4.12.</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 with largest contentful paint at 5,661.2 ms cold and 1,612.0 ms warm.</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on 29 August 2026,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achieved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t>96% statement coverage over 1,601 statements,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 xml:space="preserve">Application defects. A second reversal of the same record is rejected (Section 3.5). A mistaken reversal can therefore only be compensated by a new unlinked entry, which breaks the reversal linkage preserved by every other correction. The read cache serves a stored response and revalidates in the background, initiating a fetch unsequenced against the purge, so a fetch begun before a purge can repopulate the cache with a pre-mutation body. Correcting an equipment record posts no cache purge, leaving the overlay-derived reads cached with no error shown, as recorded in Section 3.6.1; the verification in Appendix B covers the API and is silent on the client. The entry form merges the farm's recorded crops with the model's, so an unforecastable crop is selectable and carries no signal that the forecast tier cannot serve it. All three list endpoints default to 100 rows and the client sends no limit, so both the record list and the displayed count cap silently. Two of these, the equipment purge and the client-side bounds, share a shape. In both, the guard exists with its reasoning recorded beside it, and the adjacent path does not call it.</w:t>
      </w:r>
    </w:p>
    <w:p w:rsidR="009C29EC" w:rsidRPr="004F5D51" w:rsidRDefault="008A0666">
      <w:pPr>
        <w:pStyle w:val="BodyPara"/>
      </w:pPr>
      <w:r w:rsidRPr="004F5D51">
        <w:rPr>
          <w:bCs/>
          <w:szCs w:val="24"/>
        </w:rPr>
        <w:t>Basis of the revenue figures. The unit cost calculation divides by marketable mass while the revenue calculation divides by harvest mass. These two divisions sit within the same loop body, a structural choice holding true for any farm rather than an artefact of the seed. Both masses sit in the same row of Table 4.2 as 100 kg and 84 kg. This divergence inherits into gross margin, the ranking, the realised price, break-even yield, the operating-expense ratio, farm revenue, and the farm operating-expense ratio. The asymmetry reaches only figures carrying a revenue term; no cost-side figure is affected. The whole ₦35.00 to ₦41.67 chain, both break-even prices, the sensitivity matrix, and the unit costs on both bases remain entirely unchanged. The calculation basis forces a 7.78 identity: break-even yield in kilograms and the operating-expense ratio in per cent print the exact same digits solely because revenue equals the derived price of ₦450 times the 100 kg harvest mass. These figures stand unreconciled rather than wrong. The records are consistent with a wet-mass sale, in which case nothing is overstated and only the reconciliation is absent. The enterprise-budgeting formulation this layer follows computes unit cost and break-even price against a single defined output quantity (Kay et al., 2016), so cost and revenue divided by different masses is a departure from that formulation and is what remains to be reconciled.</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client-side mirror of the monetary bounds is asserted only as a pure function; the wiring between the form and the validator is tested nowhere, as the 422 results in Appendix B are server-side responses.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t>footprint — the static server and the container runtime — were not sampled at all, so the total is part-measured and part-assumed. The maize and cowpea sale figures are chosen totals rather than rate-times-quantity, so the realised prices derived from them act as reconstructions rather than observed prices.</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from a live ledger nine quantities —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partially achieved.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r w:rsidR="00C07D64"/>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t>Structural integrity of the record. On 29 August 2026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On 29 August 2026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That claim is a claim about the literature, and it can only be tested against the literature. What follows compares this work topic by topic with the sources reviewed in Chapter Two: where the platform follows a published finding, where it departs from one, and where the reviewed work stops short of the junction this study occupies. Each paragraph is headed with the topic it treats.</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F455C0">
      <w:pPr>
        <w:pStyle w:val="BodyPara"/>
      </w:pPr>
      <w:r>
        <w:t>The limitations that bound this work are set out in Section 4.14 and are interpreted here rather than restated in full. Two kinds are distinguished throughout, and each entry below is labelled with the kind or kinds it belongs to: an implementation limitation is something the system does not do, and an evaluation limitation is something the system may well do that this study did not measure. The distinction is not a softening. It separates what would require building from what would require measuring, and the two have different consequences for what may be claimed.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on 29 August 2026 by regenerating and refitting rather than by reading the sidecar. What is unproven is the model’s relevance, not the integrity of the procedure. The claim </w:t>
      </w:r>
      <w:r w:rsidR="008A0666">
        <w:t>that the artefact was not reproducible from the repository, carried by an earlier draft, was wrong and understated the project’s own rigour. No claim of field-predictive accuracy is made, and the model should not be relied upon for a planting or input decision in its present state. The model family is chosen on the cost and interpretability grounds established by van Klompenburg et al. (2020) and not on a claim of superior accuracy, and the pre-processing problem that Olisah et al. (2024) find decisive is one this tier does not yet meet, because synthetic data arrives clean.</w:t>
      </w:r>
    </w:p>
    <w:p w:rsidR="009C29EC" w:rsidRDefault="00F455C0">
      <w:pPr>
        <w:pStyle w:val="BodyPara"/>
      </w:pPr>
      <w:r>
        <w:t>Forecast interval implementation. The methodological ladder of Section 2.6.3 has three rungs and the platform realises two of them, the deterministic tier and the tree-based ensemble; the intermediate regression tier is not implemented. The dispersion measure reported beside a forecast is computed across the individual trees of the ensemble and indicates agreement among them. It is not a calibrated prediction interval and is not reported as one. Established methods for interval estimation from a random forest exist (Meinshausen, 2006; Wager et al., 2014), and they are the route to a calibrated figure. No figure in Chapter Four derives from the unimplemented tier. The one interval reported there, 3.24 to 6.24 t/ha about a point estimate of 4.74 t/ha, is stated in those terms: it is the ensemble's internal disagreement on a single case and carries no calibration claim.</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A second stale-read exposure is now recorded in Sections 3.6.1 and 4.14, and it is of a different kind from the revalidation window: correcting an existing equipment record posts no cache purge, which is not a reasoned hypothesis but an absent call verifiable by reading the source, so the reads derived from the depreciation overlay may be served stale until the entry expires or another write purges it.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implementation.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 Three verification gaps are carried into future work rather than closed here: there has been no independent security review; there are no component tests for the page and form layer, including the drying-curve chart, and no end-to-end browser test of the offline-to-online transition; and concurrency is measured on SQLite and inferred for PostgreSQL.</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What this work establishes is definite. The paired-write ledger functions exactly as designed: on 29 August 2026, the live database maintained 109 operational logs against 109 financial transactions with zero unpaired records, proving the write-time invariant from Section 3.5 in real data rather than merely asserting it. The deterministic decision-support tier computes nine quantities directly from a farm's own records, and strictly withholds any output lacking sufficient input data rather than substituting a plausible default. The post-harvest module bridges agricultural processing with farm economics, linking a moisture measurement to a price per marketable kilogram in a single chain computed by the platform without manual intervention at any step, moving maize from ₦35.00 to ₦41.67 per kilogram. This 19% difference is post-harvest mass reduction expressed in money, and the chain that produces it is the engineering contribution of this work. The offline-first architecture performs under constraint: under a simulated 0.4 Mbps network, a repeat application visit dropped from 139,245 bytes over eight requests to just 127 bytes over seven. System security—including authorisation across three roles and eleven permissions, expiring hashed share tokens, login throttling, and credential scrubbing—was verified on the running stack.</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of rural Nigerians who lack smartphone ownership (Section 2.4.2)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Five lines of further work follow from what this study did and did not establish. They run from what the existing data and code can already support toward what does not yet exist, and each is bounded by what Chapter Four actually measured.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and nine quantities in all —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3):</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pPr>
        <w:pStyle w:val="ChapterLabel"/>
      </w:pPr>
      <w:r>
        <w:t xml:space="preserve">APPENDIX G</w:t>
      </w:r>
    </w:p>
    <w:p>
      <w:pPr>
        <w:pStyle w:val="ChapterTitle"/>
      </w:pPr>
      <w:r>
        <w:t xml:space="preserve">THE TWO IMPLEMENTATION STATES</w:t>
      </w:r>
    </w:p>
    <w:p>
      <w:pPr>
        <w:pStyle w:val="TableCaption"/>
      </w:pPr>
      <w:r>
        <w:t xml:space="preserve">Table G.1: The two implementation states and what was captured at each</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0"/>
        <w:gridCol w:w="2180"/>
        <w:gridCol w:w="2180"/>
        <w:gridCol w:w="2181"/>
      </w:tblGrid>
      <w:tr>
        <w:tc>
          <w:tcPr>
            <w:tcW w:w="2180" w:type="dxa"/>
            <w:tcBorders>
              <w:bottom w:val="single" w:sz="4" w:space="0" w:color="auto"/>
            </w:tcBorders>
          </w:tcPr>
          <w:p>
            <w:pPr>
              <w:pStyle w:val="BodyPara"/>
              <w:spacing w:after="120" w:line="240" w:lineRule="auto"/>
              <w:rPr>
                <w:b/>
              </w:rPr>
            </w:pPr>
            <w:r>
              <w:rPr>
                <w:b/>
              </w:rPr>
              <w:t xml:space="preserve">Evidence class</w:t>
            </w:r>
          </w:p>
        </w:tc>
        <w:tc>
          <w:tcPr>
            <w:tcW w:w="2180" w:type="dxa"/>
            <w:tcBorders>
              <w:bottom w:val="single" w:sz="4" w:space="0" w:color="auto"/>
            </w:tcBorders>
          </w:tcPr>
          <w:p>
            <w:pPr>
              <w:pStyle w:val="BodyPara"/>
              <w:spacing w:after="120" w:line="240" w:lineRule="auto"/>
              <w:rPr>
                <w:b/>
              </w:rPr>
            </w:pPr>
            <w:r>
              <w:rPr>
                <w:b/>
              </w:rPr>
              <w:t xml:space="preserve">Commit</w:t>
            </w:r>
          </w:p>
        </w:tc>
        <w:tc>
          <w:tcPr>
            <w:tcW w:w="2180" w:type="dxa"/>
            <w:tcBorders>
              <w:bottom w:val="single" w:sz="4" w:space="0" w:color="auto"/>
            </w:tcBorders>
          </w:tcPr>
          <w:p>
            <w:pPr>
              <w:pStyle w:val="BodyPara"/>
              <w:spacing w:after="120" w:line="240" w:lineRule="auto"/>
              <w:rPr>
                <w:b/>
              </w:rPr>
            </w:pPr>
            <w:r>
              <w:rPr>
                <w:b/>
              </w:rPr>
              <w:t xml:space="preserve">Date</w:t>
            </w:r>
          </w:p>
        </w:tc>
        <w:tc>
          <w:tcPr>
            <w:tcW w:w="2181" w:type="dxa"/>
            <w:tcBorders>
              <w:bottom w:val="single" w:sz="4" w:space="0" w:color="auto"/>
            </w:tcBorders>
          </w:tcPr>
          <w:p>
            <w:pPr>
              <w:pStyle w:val="BodyPara"/>
              <w:spacing w:after="120" w:line="240" w:lineRule="auto"/>
              <w:rPr>
                <w:b/>
              </w:rPr>
            </w:pPr>
            <w:r>
              <w:rPr>
                <w:b/>
              </w:rPr>
              <w:t xml:space="preserve">Artefact</w:t>
            </w:r>
          </w:p>
        </w:tc>
      </w:tr>
      <w:tr>
        <w:tc>
          <w:tcPr>
            <w:tcW w:w="2180" w:type="dxa"/>
            <w:tcBorders>
              <w:top w:val="single" w:sz="4" w:space="0" w:color="auto"/>
              <w:bottom w:val="nil"/>
            </w:tcBorders>
          </w:tcPr>
          <w:p>
            <w:pPr>
              <w:pStyle w:val="BodyPara"/>
              <w:spacing w:after="120" w:line="240" w:lineRule="auto"/>
            </w:pPr>
            <w:r>
              <w:t xml:space="preserve">Numerical figures</w:t>
            </w:r>
          </w:p>
        </w:tc>
        <w:tc>
          <w:tcPr>
            <w:tcW w:w="2180" w:type="dxa"/>
            <w:tcBorders>
              <w:top w:val="single" w:sz="4" w:space="0" w:color="auto"/>
              <w:bottom w:val="nil"/>
            </w:tcBorders>
          </w:tcPr>
          <w:p>
            <w:pPr>
              <w:pStyle w:val="BodyPara"/>
              <w:spacing w:after="120" w:line="240" w:lineRule="auto"/>
            </w:pPr>
            <w:r>
              <w:t xml:space="preserve">Captured at 78a68c292205acdcac1a52f977fbea31b6e8495e; re-verified at 598eab0a02533e9692332d92382d42f16fc9e346</w:t>
            </w:r>
          </w:p>
        </w:tc>
        <w:tc>
          <w:tcPr>
            <w:tcW w:w="2180" w:type="dxa"/>
            <w:tcBorders>
              <w:top w:val="single" w:sz="4" w:space="0" w:color="auto"/>
              <w:bottom w:val="nil"/>
            </w:tcBorders>
          </w:tcPr>
          <w:p>
            <w:pPr>
              <w:pStyle w:val="BodyPara"/>
              <w:spacing w:after="120" w:line="240" w:lineRule="auto"/>
            </w:pPr>
            <w:r>
              <w:t xml:space="preserve">29 August 2026; re-verified 7 September 2026</w:t>
            </w:r>
          </w:p>
        </w:tc>
        <w:tc>
          <w:tcPr>
            <w:tcW w:w="2181" w:type="dxa"/>
            <w:tcBorders>
              <w:top w:val="single" w:sz="4" w:space="0" w:color="auto"/>
              <w:bottom w:val="nil"/>
            </w:tcBorders>
          </w:tcPr>
          <w:p>
            <w:pPr>
              <w:pStyle w:val="BodyPara"/>
              <w:spacing w:after="120" w:line="240" w:lineRule="auto"/>
            </w:pPr>
            <w:r>
              <w:t xml:space="preserve">docs/EVIDENCE_FREEZE_2026-08-29.md §2; docs/EVIDENCE_CAPTURE_2026-09-07.md §3</w:t>
            </w:r>
          </w:p>
        </w:tc>
      </w:tr>
      <w:tr>
        <w:tc>
          <w:tcPr>
            <w:tcW w:w="2180" w:type="dxa"/>
            <w:tcBorders>
              <w:top w:val="nil"/>
              <w:bottom w:val="nil"/>
            </w:tcBorders>
          </w:tcPr>
          <w:p>
            <w:pPr>
              <w:pStyle w:val="BodyPara"/>
              <w:spacing w:after="120" w:line="240" w:lineRule="auto"/>
            </w:pPr>
            <w:r>
              <w:t xml:space="preserve">Database census</w:t>
            </w:r>
          </w:p>
        </w:tc>
        <w:tc>
          <w:tcPr>
            <w:tcW w:w="2180" w:type="dxa"/>
            <w:tcBorders>
              <w:top w:val="nil"/>
              <w:bottom w:val="nil"/>
            </w:tcBorders>
          </w:tcPr>
          <w:p>
            <w:pPr>
              <w:pStyle w:val="BodyPara"/>
              <w:spacing w:after="120" w:line="240" w:lineRule="auto"/>
            </w:pPr>
            <w:r>
              <w:t xml:space="preserve">78a68c292205acdcac1a52f977fbea31b6e8495e</w:t>
            </w:r>
          </w:p>
        </w:tc>
        <w:tc>
          <w:tcPr>
            <w:tcW w:w="2180" w:type="dxa"/>
            <w:tcBorders>
              <w:top w:val="nil"/>
              <w:bottom w:val="nil"/>
            </w:tcBorders>
          </w:tcPr>
          <w:p>
            <w:pPr>
              <w:pStyle w:val="BodyPara"/>
              <w:spacing w:after="120" w:line="240" w:lineRule="auto"/>
            </w:pPr>
            <w:r>
              <w:t xml:space="preserve">29 August 2026</w:t>
            </w:r>
          </w:p>
        </w:tc>
        <w:tc>
          <w:tcPr>
            <w:tcW w:w="2181" w:type="dxa"/>
            <w:tcBorders>
              <w:top w:val="nil"/>
              <w:bottom w:val="nil"/>
            </w:tcBorders>
          </w:tcPr>
          <w:p>
            <w:pPr>
              <w:pStyle w:val="BodyPara"/>
              <w:spacing w:after="120" w:line="240" w:lineRule="auto"/>
            </w:pPr>
            <w:r>
              <w:t xml:space="preserve">docs/EVIDENCE_FREEZE_2026-08-29.md §4</w:t>
            </w:r>
          </w:p>
        </w:tc>
      </w:tr>
      <w:tr>
        <w:tc>
          <w:tcPr>
            <w:tcW w:w="2180" w:type="dxa"/>
            <w:tcBorders>
              <w:top w:val="nil"/>
              <w:bottom w:val="nil"/>
            </w:tcBorders>
          </w:tcPr>
          <w:p>
            <w:pPr>
              <w:pStyle w:val="BodyPara"/>
              <w:spacing w:after="120" w:line="240" w:lineRule="auto"/>
            </w:pPr>
            <w:r>
              <w:t xml:space="preserve">Live probes</w:t>
            </w:r>
          </w:p>
        </w:tc>
        <w:tc>
          <w:tcPr>
            <w:tcW w:w="2180" w:type="dxa"/>
            <w:tcBorders>
              <w:top w:val="nil"/>
              <w:bottom w:val="nil"/>
            </w:tcBorders>
          </w:tcPr>
          <w:p>
            <w:pPr>
              <w:pStyle w:val="BodyPara"/>
              <w:spacing w:after="120" w:line="240" w:lineRule="auto"/>
            </w:pPr>
            <w:r>
              <w:t xml:space="preserve">78a68c292205acdcac1a52f977fbea31b6e8495e</w:t>
            </w:r>
          </w:p>
        </w:tc>
        <w:tc>
          <w:tcPr>
            <w:tcW w:w="2180" w:type="dxa"/>
            <w:tcBorders>
              <w:top w:val="nil"/>
              <w:bottom w:val="nil"/>
            </w:tcBorders>
          </w:tcPr>
          <w:p>
            <w:pPr>
              <w:pStyle w:val="BodyPara"/>
              <w:spacing w:after="120" w:line="240" w:lineRule="auto"/>
            </w:pPr>
            <w:r>
              <w:t xml:space="preserve">29 August 2026</w:t>
            </w:r>
          </w:p>
        </w:tc>
        <w:tc>
          <w:tcPr>
            <w:tcW w:w="2181" w:type="dxa"/>
            <w:tcBorders>
              <w:top w:val="nil"/>
              <w:bottom w:val="nil"/>
            </w:tcBorders>
          </w:tcPr>
          <w:p>
            <w:pPr>
              <w:pStyle w:val="BodyPara"/>
              <w:spacing w:after="120" w:line="240" w:lineRule="auto"/>
            </w:pPr>
            <w:r>
              <w:t xml:space="preserve">docs/EVIDENCE_FREEZE_2026-08-29.md §3.7–§3.13</w:t>
            </w:r>
          </w:p>
        </w:tc>
      </w:tr>
      <w:tr>
        <w:tc>
          <w:tcPr>
            <w:tcW w:w="2180" w:type="dxa"/>
            <w:tcBorders>
              <w:top w:val="nil"/>
              <w:bottom w:val="nil"/>
            </w:tcBorders>
          </w:tcPr>
          <w:p>
            <w:pPr>
              <w:pStyle w:val="BodyPara"/>
              <w:spacing w:after="120" w:line="240" w:lineRule="auto"/>
            </w:pPr>
            <w:r>
              <w:t xml:space="preserve">Interface screenshots and test counts</w:t>
            </w:r>
          </w:p>
        </w:tc>
        <w:tc>
          <w:tcPr>
            <w:tcW w:w="2180" w:type="dxa"/>
            <w:tcBorders>
              <w:top w:val="nil"/>
              <w:bottom w:val="nil"/>
            </w:tcBorders>
          </w:tcPr>
          <w:p>
            <w:pPr>
              <w:pStyle w:val="BodyPara"/>
              <w:spacing w:after="120" w:line="240" w:lineRule="auto"/>
            </w:pPr>
            <w:r>
              <w:t xml:space="preserve">598eab0a02533e9692332d92382d42f16fc9e346</w:t>
            </w:r>
          </w:p>
        </w:tc>
        <w:tc>
          <w:tcPr>
            <w:tcW w:w="2180" w:type="dxa"/>
            <w:tcBorders>
              <w:top w:val="nil"/>
              <w:bottom w:val="nil"/>
            </w:tcBorders>
          </w:tcPr>
          <w:p>
            <w:pPr>
              <w:pStyle w:val="BodyPara"/>
              <w:spacing w:after="120" w:line="240" w:lineRule="auto"/>
            </w:pPr>
            <w:r>
              <w:t xml:space="preserve">7 September 2026</w:t>
            </w:r>
          </w:p>
        </w:tc>
        <w:tc>
          <w:tcPr>
            <w:tcW w:w="2181" w:type="dxa"/>
            <w:tcBorders>
              <w:top w:val="nil"/>
              <w:bottom w:val="nil"/>
            </w:tcBorders>
          </w:tcPr>
          <w:p>
            <w:pPr>
              <w:pStyle w:val="BodyPara"/>
              <w:spacing w:after="120" w:line="240" w:lineRule="auto"/>
            </w:pPr>
            <w:r>
              <w:t xml:space="preserve">docs/EVIDENCE_FREEZE_2026-09-07.md §2, §3; Screenshots/fig_4_1.png–fig_4_11.png, fig_x_filter.png, fig_x_pnl.png</w:t>
            </w:r>
          </w:p>
        </w:tc>
      </w:tr>
      <w:tr>
        <w:tc>
          <w:tcPr>
            <w:tcW w:w="2180" w:type="dxa"/>
            <w:tcBorders>
              <w:top w:val="nil"/>
              <w:bottom w:val="single" w:sz="4" w:space="0" w:color="auto"/>
            </w:tcBorders>
          </w:tcPr>
          <w:p>
            <w:pPr>
              <w:pStyle w:val="BodyPara"/>
              <w:spacing w:after="120" w:line="240" w:lineRule="auto"/>
            </w:pPr>
            <w:r>
              <w:t xml:space="preserve">Performance figures</w:t>
            </w:r>
          </w:p>
        </w:tc>
        <w:tc>
          <w:tcPr>
            <w:tcW w:w="2180" w:type="dxa"/>
            <w:tcBorders>
              <w:top w:val="nil"/>
              <w:bottom w:val="single" w:sz="4" w:space="0" w:color="auto"/>
            </w:tcBorders>
          </w:tcPr>
          <w:p>
            <w:pPr>
              <w:pStyle w:val="BodyPara"/>
              <w:spacing w:after="120" w:line="240" w:lineRule="auto"/>
            </w:pPr>
            <w:r>
              <w:t xml:space="preserve">78a68c292205acdcac1a52f977fbea31b6e8495e — not re-measured</w:t>
            </w:r>
          </w:p>
        </w:tc>
        <w:tc>
          <w:tcPr>
            <w:tcW w:w="2180" w:type="dxa"/>
            <w:tcBorders>
              <w:top w:val="nil"/>
              <w:bottom w:val="single" w:sz="4" w:space="0" w:color="auto"/>
            </w:tcBorders>
          </w:tcPr>
          <w:p>
            <w:pPr>
              <w:pStyle w:val="BodyPara"/>
              <w:spacing w:after="120" w:line="240" w:lineRule="auto"/>
            </w:pPr>
            <w:r>
              <w:t xml:space="preserve">29 August 2026</w:t>
            </w:r>
          </w:p>
        </w:tc>
        <w:tc>
          <w:tcPr>
            <w:tcW w:w="2181" w:type="dxa"/>
            <w:tcBorders>
              <w:top w:val="nil"/>
              <w:bottom w:val="single" w:sz="4" w:space="0" w:color="auto"/>
            </w:tcBorders>
          </w:tcPr>
          <w:p>
            <w:pPr>
              <w:pStyle w:val="BodyPara"/>
              <w:spacing w:after="120" w:line="240" w:lineRule="auto"/>
            </w:pPr>
            <w:r>
              <w:t xml:space="preserve">docs/perf/2026-08-29/README.md, with lh-4g-run1–5 and lh-slow3g-run1–5 .report.json/.html and flow-iter1–3.json</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