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pPr>
        <w:pStyle w:val="TOC1"/>
        <w:tabs>
          <w:tab w:val="right" w:leader="dot" w:pos="8503"/>
        </w:tabs>
      </w:pPr>
      <w:r>
        <w:t xml:space="preserve">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on 7 September 2026.</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pPr>
        <w:pStyle w:val="ChapterLabel"/>
      </w:pPr>
      <w:r>
        <w:t xml:space="preserve">APPENDIX G</w:t>
      </w:r>
    </w:p>
    <w:p>
      <w:pPr>
        <w:pStyle w:val="ChapterTitle"/>
      </w:pPr>
      <w:r>
        <w:t xml:space="preserve">THE TWO IMPLEMENTATION STATES</w:t>
      </w:r>
    </w:p>
    <w:p>
      <w:pPr>
        <w:pStyle w:val="TableCaption"/>
      </w:pPr>
      <w:r>
        <w:t xml:space="preserve">Table G.1: The two implementation states and what was captured at each</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2180"/>
        <w:gridCol w:w="2180"/>
        <w:gridCol w:w="2181"/>
      </w:tblGrid>
      <w:tr>
        <w:tc>
          <w:tcPr>
            <w:tcW w:w="2180" w:type="dxa"/>
            <w:tcBorders>
              <w:bottom w:val="single" w:sz="4" w:space="0" w:color="auto"/>
            </w:tcBorders>
          </w:tcPr>
          <w:p>
            <w:pPr>
              <w:pStyle w:val="BodyPara"/>
              <w:spacing w:after="120" w:line="240" w:lineRule="auto"/>
              <w:rPr>
                <w:b/>
              </w:rPr>
            </w:pPr>
            <w:r>
              <w:rPr>
                <w:b/>
              </w:rPr>
              <w:t xml:space="preserve">Evidence class</w:t>
            </w:r>
          </w:p>
        </w:tc>
        <w:tc>
          <w:tcPr>
            <w:tcW w:w="2180" w:type="dxa"/>
            <w:tcBorders>
              <w:bottom w:val="single" w:sz="4" w:space="0" w:color="auto"/>
            </w:tcBorders>
          </w:tcPr>
          <w:p>
            <w:pPr>
              <w:pStyle w:val="BodyPara"/>
              <w:spacing w:after="120" w:line="240" w:lineRule="auto"/>
              <w:rPr>
                <w:b/>
              </w:rPr>
            </w:pPr>
            <w:r>
              <w:rPr>
                <w:b/>
              </w:rPr>
              <w:t xml:space="preserve">Commit</w:t>
            </w:r>
          </w:p>
        </w:tc>
        <w:tc>
          <w:tcPr>
            <w:tcW w:w="2180" w:type="dxa"/>
            <w:tcBorders>
              <w:bottom w:val="single" w:sz="4" w:space="0" w:color="auto"/>
            </w:tcBorders>
          </w:tcPr>
          <w:p>
            <w:pPr>
              <w:pStyle w:val="BodyPara"/>
              <w:spacing w:after="120" w:line="240" w:lineRule="auto"/>
              <w:rPr>
                <w:b/>
              </w:rPr>
            </w:pPr>
            <w:r>
              <w:rPr>
                <w:b/>
              </w:rPr>
              <w:t xml:space="preserve">Date</w:t>
            </w:r>
          </w:p>
        </w:tc>
        <w:tc>
          <w:tcPr>
            <w:tcW w:w="2181" w:type="dxa"/>
            <w:tcBorders>
              <w:bottom w:val="single" w:sz="4" w:space="0" w:color="auto"/>
            </w:tcBorders>
          </w:tcPr>
          <w:p>
            <w:pPr>
              <w:pStyle w:val="BodyPara"/>
              <w:spacing w:after="120" w:line="240" w:lineRule="auto"/>
              <w:rPr>
                <w:b/>
              </w:rPr>
            </w:pPr>
            <w:r>
              <w:rPr>
                <w:b/>
              </w:rPr>
              <w:t xml:space="preserve">Artefact</w:t>
            </w:r>
          </w:p>
        </w:tc>
      </w:tr>
      <w:tr>
        <w:tc>
          <w:tcPr>
            <w:tcW w:w="2180" w:type="dxa"/>
            <w:tcBorders>
              <w:top w:val="single" w:sz="4" w:space="0" w:color="auto"/>
              <w:bottom w:val="nil"/>
            </w:tcBorders>
          </w:tcPr>
          <w:p>
            <w:pPr>
              <w:pStyle w:val="BodyPara"/>
              <w:spacing w:after="120" w:line="240" w:lineRule="auto"/>
            </w:pPr>
            <w:r>
              <w:t xml:space="preserve">Numerical figures</w:t>
            </w:r>
          </w:p>
        </w:tc>
        <w:tc>
          <w:tcPr>
            <w:tcW w:w="2180" w:type="dxa"/>
            <w:tcBorders>
              <w:top w:val="single" w:sz="4" w:space="0" w:color="auto"/>
              <w:bottom w:val="nil"/>
            </w:tcBorders>
          </w:tcPr>
          <w:p>
            <w:pPr>
              <w:pStyle w:val="BodyPara"/>
              <w:spacing w:after="120" w:line="240" w:lineRule="auto"/>
            </w:pPr>
            <w:r>
              <w:t xml:space="preserve">Captured at 78a68c292205acdcac1a52f977fbea31b6e8495e; re-verified at 598eab0a02533e9692332d92382d42f16fc9e346</w:t>
            </w:r>
          </w:p>
        </w:tc>
        <w:tc>
          <w:tcPr>
            <w:tcW w:w="2180" w:type="dxa"/>
            <w:tcBorders>
              <w:top w:val="single" w:sz="4" w:space="0" w:color="auto"/>
              <w:bottom w:val="nil"/>
            </w:tcBorders>
          </w:tcPr>
          <w:p>
            <w:pPr>
              <w:pStyle w:val="BodyPara"/>
              <w:spacing w:after="120" w:line="240" w:lineRule="auto"/>
            </w:pPr>
            <w:r>
              <w:t xml:space="preserve">29 August 2026; re-verified 7 September 2026</w:t>
            </w:r>
          </w:p>
        </w:tc>
        <w:tc>
          <w:tcPr>
            <w:tcW w:w="2181" w:type="dxa"/>
            <w:tcBorders>
              <w:top w:val="single" w:sz="4" w:space="0" w:color="auto"/>
              <w:bottom w:val="nil"/>
            </w:tcBorders>
          </w:tcPr>
          <w:p>
            <w:pPr>
              <w:pStyle w:val="BodyPara"/>
              <w:spacing w:after="120" w:line="240" w:lineRule="auto"/>
            </w:pPr>
            <w:r>
              <w:t xml:space="preserve">docs/EVIDENCE_FREEZE_2026-08-29.md §2; docs/EVIDENCE_CAPTURE_2026-09-07.md §3</w:t>
            </w:r>
          </w:p>
        </w:tc>
      </w:tr>
      <w:tr>
        <w:tc>
          <w:tcPr>
            <w:tcW w:w="2180" w:type="dxa"/>
            <w:tcBorders>
              <w:top w:val="nil"/>
              <w:bottom w:val="nil"/>
            </w:tcBorders>
          </w:tcPr>
          <w:p>
            <w:pPr>
              <w:pStyle w:val="BodyPara"/>
              <w:spacing w:after="120" w:line="240" w:lineRule="auto"/>
            </w:pPr>
            <w:r>
              <w:t xml:space="preserve">Database census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§4</w:t>
            </w:r>
          </w:p>
        </w:tc>
      </w:tr>
      <w:tr>
        <w:tc>
          <w:tcPr>
            <w:tcW w:w="2180" w:type="dxa"/>
            <w:tcBorders>
              <w:top w:val="nil"/>
              <w:bottom w:val="nil"/>
            </w:tcBorders>
          </w:tcPr>
          <w:p>
            <w:pPr>
              <w:pStyle w:val="BodyPara"/>
              <w:spacing w:after="120" w:line="240" w:lineRule="auto"/>
            </w:pPr>
            <w:r>
              <w:t xml:space="preserve">Live probes</w:t>
            </w:r>
          </w:p>
        </w:tc>
        <w:tc>
          <w:tcPr>
            <w:tcW w:w="2180" w:type="dxa"/>
            <w:tcBorders>
              <w:top w:val="nil"/>
              <w:bottom w:val="nil"/>
            </w:tcBorders>
          </w:tcPr>
          <w:p>
            <w:pPr>
              <w:pStyle w:val="BodyPara"/>
              <w:spacing w:after="120" w:line="240" w:lineRule="auto"/>
            </w:pPr>
            <w:r>
              <w:t xml:space="preserve">78a68c292205acdcac1a52f977fbea31b6e8495e</w:t>
            </w:r>
          </w:p>
        </w:tc>
        <w:tc>
          <w:tcPr>
            <w:tcW w:w="2180" w:type="dxa"/>
            <w:tcBorders>
              <w:top w:val="nil"/>
              <w:bottom w:val="nil"/>
            </w:tcBorders>
          </w:tcPr>
          <w:p>
            <w:pPr>
              <w:pStyle w:val="BodyPara"/>
              <w:spacing w:after="120" w:line="240" w:lineRule="auto"/>
            </w:pPr>
            <w:r>
              <w:t xml:space="preserve">29 August 2026</w:t>
            </w:r>
          </w:p>
        </w:tc>
        <w:tc>
          <w:tcPr>
            <w:tcW w:w="2181" w:type="dxa"/>
            <w:tcBorders>
              <w:top w:val="nil"/>
              <w:bottom w:val="nil"/>
            </w:tcBorders>
          </w:tcPr>
          <w:p>
            <w:pPr>
              <w:pStyle w:val="BodyPara"/>
              <w:spacing w:after="120" w:line="240" w:lineRule="auto"/>
            </w:pPr>
            <w:r>
              <w:t xml:space="preserve">docs/EVIDENCE_FREEZE_2026-08-29.md §3.7–§3.13</w:t>
            </w:r>
          </w:p>
        </w:tc>
      </w:tr>
      <w:tr>
        <w:tc>
          <w:tcPr>
            <w:tcW w:w="2180" w:type="dxa"/>
            <w:tcBorders>
              <w:top w:val="nil"/>
              <w:bottom w:val="nil"/>
            </w:tcBorders>
          </w:tcPr>
          <w:p>
            <w:pPr>
              <w:pStyle w:val="BodyPara"/>
              <w:spacing w:after="120" w:line="240" w:lineRule="auto"/>
            </w:pPr>
            <w:r>
              <w:t xml:space="preserve">Interface screenshots and test counts</w:t>
            </w:r>
          </w:p>
        </w:tc>
        <w:tc>
          <w:tcPr>
            <w:tcW w:w="2180" w:type="dxa"/>
            <w:tcBorders>
              <w:top w:val="nil"/>
              <w:bottom w:val="nil"/>
            </w:tcBorders>
          </w:tcPr>
          <w:p>
            <w:pPr>
              <w:pStyle w:val="BodyPara"/>
              <w:spacing w:after="120" w:line="240" w:lineRule="auto"/>
            </w:pPr>
            <w:r>
              <w:t xml:space="preserve">598eab0a02533e9692332d92382d42f16fc9e346</w:t>
            </w:r>
          </w:p>
        </w:tc>
        <w:tc>
          <w:tcPr>
            <w:tcW w:w="2180" w:type="dxa"/>
            <w:tcBorders>
              <w:top w:val="nil"/>
              <w:bottom w:val="nil"/>
            </w:tcBorders>
          </w:tcPr>
          <w:p>
            <w:pPr>
              <w:pStyle w:val="BodyPara"/>
              <w:spacing w:after="120" w:line="240" w:lineRule="auto"/>
            </w:pPr>
            <w:r>
              <w:t xml:space="preserve">7 September 2026</w:t>
            </w:r>
          </w:p>
        </w:tc>
        <w:tc>
          <w:tcPr>
            <w:tcW w:w="2181" w:type="dxa"/>
            <w:tcBorders>
              <w:top w:val="nil"/>
              <w:bottom w:val="nil"/>
            </w:tcBorders>
          </w:tcPr>
          <w:p>
            <w:pPr>
              <w:pStyle w:val="BodyPara"/>
              <w:spacing w:after="120" w:line="240" w:lineRule="auto"/>
            </w:pPr>
            <w:r>
              <w:t xml:space="preserve">docs/EVIDENCE_FREEZE_2026-09-07.md §2, §3; Screenshots/fig_4_1.png–fig_4_11.png, fig_x_filter.png, fig_x_pnl.png</w:t>
            </w:r>
          </w:p>
        </w:tc>
      </w:tr>
      <w:tr>
        <w:tc>
          <w:tcPr>
            <w:tcW w:w="2180" w:type="dxa"/>
            <w:tcBorders>
              <w:top w:val="nil"/>
              <w:bottom w:val="single" w:sz="4" w:space="0" w:color="auto"/>
            </w:tcBorders>
          </w:tcPr>
          <w:p>
            <w:pPr>
              <w:pStyle w:val="BodyPara"/>
              <w:spacing w:after="120" w:line="240" w:lineRule="auto"/>
            </w:pPr>
            <w:r>
              <w:t xml:space="preserve">Performance figures</w:t>
            </w:r>
          </w:p>
        </w:tc>
        <w:tc>
          <w:tcPr>
            <w:tcW w:w="2180" w:type="dxa"/>
            <w:tcBorders>
              <w:top w:val="nil"/>
              <w:bottom w:val="single" w:sz="4" w:space="0" w:color="auto"/>
            </w:tcBorders>
          </w:tcPr>
          <w:p>
            <w:pPr>
              <w:pStyle w:val="BodyPara"/>
              <w:spacing w:after="120" w:line="240" w:lineRule="auto"/>
            </w:pPr>
            <w:r>
              <w:t xml:space="preserve">78a68c292205acdcac1a52f977fbea31b6e8495e — not re-measured</w:t>
            </w:r>
          </w:p>
        </w:tc>
        <w:tc>
          <w:tcPr>
            <w:tcW w:w="2180" w:type="dxa"/>
            <w:tcBorders>
              <w:top w:val="nil"/>
              <w:bottom w:val="single" w:sz="4" w:space="0" w:color="auto"/>
            </w:tcBorders>
          </w:tcPr>
          <w:p>
            <w:pPr>
              <w:pStyle w:val="BodyPara"/>
              <w:spacing w:after="120" w:line="240" w:lineRule="auto"/>
            </w:pPr>
            <w:r>
              <w:t xml:space="preserve">29 August 2026</w:t>
            </w:r>
          </w:p>
        </w:tc>
        <w:tc>
          <w:tcPr>
            <w:tcW w:w="2181" w:type="dxa"/>
            <w:tcBorders>
              <w:top w:val="nil"/>
              <w:bottom w:val="single" w:sz="4" w:space="0" w:color="auto"/>
            </w:tcBorders>
          </w:tcPr>
          <w:p>
            <w:pPr>
              <w:pStyle w:val="BodyPara"/>
              <w:spacing w:after="120" w:line="240" w:lineRule="auto"/>
            </w:pPr>
            <w:r>
              <w:t xml:space="preserve">docs/perf/2026-08-29/README.md, with lh-4g-run1–5 and lh-slow3g-run1–5 .report.json/.html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