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3E1F" w14:textId="0423AD7F" w:rsidR="00893B17" w:rsidRPr="00893B17" w:rsidRDefault="0079750B" w:rsidP="0079750B">
      <w:pPr>
        <w:jc w:val="center"/>
        <w:rPr>
          <w:b/>
          <w:bCs/>
          <w:lang w:val="en-US"/>
        </w:rPr>
      </w:pPr>
      <w:r>
        <w:rPr>
          <w:rFonts w:hint="eastAsia"/>
          <w:b/>
          <w:bCs/>
          <w:lang w:val="en-US"/>
        </w:rPr>
        <w:t>GO/NO-GO</w:t>
      </w:r>
      <w:r w:rsidR="00893B17" w:rsidRPr="00893B17">
        <w:rPr>
          <w:b/>
          <w:bCs/>
          <w:lang w:val="en-US"/>
        </w:rPr>
        <w:t xml:space="preserve"> Report: Microbial Association Network</w:t>
      </w:r>
    </w:p>
    <w:p w14:paraId="1401154A" w14:textId="77777777" w:rsidR="00893B17" w:rsidRPr="00893B17" w:rsidRDefault="00893B17" w:rsidP="00893B17">
      <w:pPr>
        <w:rPr>
          <w:lang w:val="en-US"/>
        </w:rPr>
      </w:pPr>
      <w:r w:rsidRPr="00893B17">
        <w:rPr>
          <w:b/>
          <w:bCs/>
          <w:lang w:val="en-US"/>
        </w:rPr>
        <w:t>Student:</w:t>
      </w:r>
      <w:r w:rsidRPr="00893B17">
        <w:rPr>
          <w:lang w:val="en-US"/>
        </w:rPr>
        <w:t xml:space="preserve"> </w:t>
      </w:r>
      <w:proofErr w:type="spellStart"/>
      <w:r w:rsidRPr="00893B17">
        <w:rPr>
          <w:lang w:val="en-US"/>
        </w:rPr>
        <w:t>Yiyang</w:t>
      </w:r>
      <w:proofErr w:type="spellEnd"/>
      <w:r w:rsidRPr="00893B17">
        <w:rPr>
          <w:lang w:val="en-US"/>
        </w:rPr>
        <w:t xml:space="preserve"> Chen</w:t>
      </w:r>
    </w:p>
    <w:p w14:paraId="089A6C30" w14:textId="77777777" w:rsidR="00893B17" w:rsidRPr="0079750B" w:rsidRDefault="00893B17" w:rsidP="00893B17">
      <w:pPr>
        <w:rPr>
          <w:b/>
          <w:bCs/>
          <w:i/>
          <w:iCs/>
          <w:lang w:val="en-US"/>
        </w:rPr>
      </w:pPr>
      <w:r w:rsidRPr="00893B17">
        <w:rPr>
          <w:b/>
          <w:bCs/>
          <w:lang w:val="en-US"/>
        </w:rPr>
        <w:t>Project Title:</w:t>
      </w:r>
      <w:r w:rsidRPr="0079750B">
        <w:rPr>
          <w:b/>
          <w:bCs/>
          <w:i/>
          <w:iCs/>
          <w:lang w:val="en-US"/>
        </w:rPr>
        <w:t xml:space="preserve"> Inferring Sparse Microbial Association Networks for Plants Under Stress</w:t>
      </w:r>
    </w:p>
    <w:p w14:paraId="64915E73" w14:textId="77777777" w:rsidR="00A47976" w:rsidRPr="00893B17" w:rsidRDefault="00A47976" w:rsidP="00893B17">
      <w:pPr>
        <w:rPr>
          <w:lang w:val="en-US"/>
        </w:rPr>
      </w:pPr>
    </w:p>
    <w:p w14:paraId="7F6F7D0B" w14:textId="40917EE9" w:rsidR="00A47976" w:rsidRPr="00A47976" w:rsidRDefault="00893B17" w:rsidP="00A47976">
      <w:pPr>
        <w:pStyle w:val="ListParagraph"/>
        <w:numPr>
          <w:ilvl w:val="0"/>
          <w:numId w:val="6"/>
        </w:numPr>
        <w:ind w:firstLineChars="0"/>
        <w:rPr>
          <w:rFonts w:hint="eastAsia"/>
          <w:b/>
          <w:bCs/>
          <w:lang w:val="en-US"/>
        </w:rPr>
      </w:pPr>
      <w:r w:rsidRPr="00A47976">
        <w:rPr>
          <w:b/>
          <w:bCs/>
          <w:lang w:val="en-US"/>
        </w:rPr>
        <w:t>Plant Microbiome and Nitrogen Stress</w:t>
      </w:r>
    </w:p>
    <w:p w14:paraId="162CA6A1" w14:textId="77777777" w:rsidR="00893B17" w:rsidRPr="00893B17" w:rsidRDefault="00893B17" w:rsidP="00893B17">
      <w:pPr>
        <w:rPr>
          <w:lang w:val="en-US"/>
        </w:rPr>
      </w:pPr>
      <w:r w:rsidRPr="00893B17">
        <w:rPr>
          <w:b/>
          <w:bCs/>
          <w:lang w:val="en-US"/>
        </w:rPr>
        <w:t>1.1 Microbiome's Role in Nitrogen Cycling</w:t>
      </w:r>
    </w:p>
    <w:p w14:paraId="4A0139DE" w14:textId="277CB28B" w:rsidR="00893B17" w:rsidRPr="00893B17" w:rsidRDefault="00893B17" w:rsidP="00893B17">
      <w:pPr>
        <w:rPr>
          <w:lang w:val="en-US"/>
        </w:rPr>
      </w:pPr>
      <w:r w:rsidRPr="00893B17">
        <w:rPr>
          <w:lang w:val="en-US"/>
        </w:rPr>
        <w:t>The plant microbiome</w:t>
      </w:r>
      <w:r w:rsidR="00A47976">
        <w:rPr>
          <w:rFonts w:hint="eastAsia"/>
          <w:lang w:val="en-US"/>
        </w:rPr>
        <w:t xml:space="preserve"> system</w:t>
      </w:r>
      <w:r w:rsidRPr="00893B17">
        <w:rPr>
          <w:lang w:val="en-US"/>
        </w:rPr>
        <w:t xml:space="preserve"> plays a </w:t>
      </w:r>
      <w:r w:rsidR="00A47976">
        <w:rPr>
          <w:lang w:val="en-US"/>
        </w:rPr>
        <w:t>vital</w:t>
      </w:r>
      <w:r w:rsidRPr="00893B17">
        <w:rPr>
          <w:lang w:val="en-US"/>
        </w:rPr>
        <w:t xml:space="preserve"> role in nitrogen cycling, influencing plant access to </w:t>
      </w:r>
      <w:r w:rsidR="00A47976">
        <w:rPr>
          <w:rFonts w:hint="eastAsia"/>
          <w:lang w:val="en-US"/>
        </w:rPr>
        <w:t>its</w:t>
      </w:r>
      <w:r w:rsidRPr="00893B17">
        <w:rPr>
          <w:lang w:val="en-US"/>
        </w:rPr>
        <w:t xml:space="preserve"> vital nutrient. Key microbial processes</w:t>
      </w:r>
      <w:r w:rsidR="00A47976">
        <w:rPr>
          <w:rFonts w:hint="eastAsia"/>
          <w:lang w:val="en-US"/>
        </w:rPr>
        <w:t xml:space="preserve"> include</w:t>
      </w:r>
      <w:r w:rsidRPr="00893B17">
        <w:rPr>
          <w:lang w:val="en-US"/>
        </w:rPr>
        <w:t>:</w:t>
      </w:r>
    </w:p>
    <w:p w14:paraId="2C15C926" w14:textId="234FCCC1" w:rsidR="00893B17" w:rsidRPr="00893B17" w:rsidRDefault="00893B17" w:rsidP="00893B17">
      <w:pPr>
        <w:numPr>
          <w:ilvl w:val="0"/>
          <w:numId w:val="1"/>
        </w:numPr>
        <w:rPr>
          <w:lang w:val="en-US"/>
        </w:rPr>
      </w:pPr>
      <w:r w:rsidRPr="00893B17">
        <w:rPr>
          <w:b/>
          <w:bCs/>
          <w:lang w:val="en-US"/>
        </w:rPr>
        <w:t>Nitrogen Fixation:</w:t>
      </w:r>
      <w:r w:rsidRPr="00893B17">
        <w:rPr>
          <w:lang w:val="en-US"/>
        </w:rPr>
        <w:t xml:space="preserve"> </w:t>
      </w:r>
      <w:r w:rsidR="00A47976">
        <w:rPr>
          <w:rFonts w:hint="eastAsia"/>
          <w:lang w:val="en-US"/>
        </w:rPr>
        <w:t>Some</w:t>
      </w:r>
      <w:r w:rsidRPr="00893B17">
        <w:rPr>
          <w:lang w:val="en-US"/>
        </w:rPr>
        <w:t xml:space="preserve"> </w:t>
      </w:r>
      <w:r w:rsidR="00A47976" w:rsidRPr="00893B17">
        <w:rPr>
          <w:lang w:val="en-US"/>
        </w:rPr>
        <w:t>bacteria</w:t>
      </w:r>
      <w:r w:rsidRPr="00893B17">
        <w:rPr>
          <w:lang w:val="en-US"/>
        </w:rPr>
        <w:t xml:space="preserve"> (e.g., </w:t>
      </w:r>
      <w:r w:rsidRPr="00893B17">
        <w:rPr>
          <w:i/>
          <w:iCs/>
          <w:lang w:val="en-US"/>
        </w:rPr>
        <w:t>Rhizobia</w:t>
      </w:r>
      <w:r w:rsidRPr="00893B17">
        <w:rPr>
          <w:lang w:val="en-US"/>
        </w:rPr>
        <w:t xml:space="preserve">) convert atmospheric nitrogen gas into ammonia, </w:t>
      </w:r>
      <w:r w:rsidR="00A47976">
        <w:rPr>
          <w:rFonts w:hint="eastAsia"/>
          <w:lang w:val="en-US"/>
        </w:rPr>
        <w:t>utilized</w:t>
      </w:r>
      <w:r w:rsidRPr="00893B17">
        <w:rPr>
          <w:lang w:val="en-US"/>
        </w:rPr>
        <w:t xml:space="preserve"> by plants</w:t>
      </w:r>
      <w:r w:rsidR="00A47976">
        <w:rPr>
          <w:rFonts w:hint="eastAsia"/>
          <w:lang w:val="en-US"/>
        </w:rPr>
        <w:t xml:space="preserve"> for growth</w:t>
      </w:r>
      <w:r w:rsidRPr="00893B17">
        <w:rPr>
          <w:lang w:val="en-US"/>
        </w:rPr>
        <w:t>.</w:t>
      </w:r>
    </w:p>
    <w:p w14:paraId="5AD285ED" w14:textId="280CDA0A" w:rsidR="00893B17" w:rsidRPr="00893B17" w:rsidRDefault="00893B17" w:rsidP="00893B17">
      <w:pPr>
        <w:numPr>
          <w:ilvl w:val="0"/>
          <w:numId w:val="1"/>
        </w:numPr>
        <w:rPr>
          <w:lang w:val="en-US"/>
        </w:rPr>
      </w:pPr>
      <w:r w:rsidRPr="00893B17">
        <w:rPr>
          <w:b/>
          <w:bCs/>
          <w:lang w:val="en-US"/>
        </w:rPr>
        <w:t>Nitrification:</w:t>
      </w:r>
      <w:r w:rsidRPr="00893B17">
        <w:rPr>
          <w:lang w:val="en-US"/>
        </w:rPr>
        <w:t xml:space="preserve"> Other microbes (e.g., </w:t>
      </w:r>
      <w:r w:rsidRPr="00893B17">
        <w:rPr>
          <w:i/>
          <w:iCs/>
          <w:lang w:val="en-US"/>
        </w:rPr>
        <w:t>Nitrobacter</w:t>
      </w:r>
      <w:r w:rsidRPr="00893B17">
        <w:rPr>
          <w:lang w:val="en-US"/>
        </w:rPr>
        <w:t>) oxidize</w:t>
      </w:r>
      <w:r w:rsidR="00A47976" w:rsidRPr="00A47976">
        <w:rPr>
          <w:lang w:val="en-US"/>
        </w:rPr>
        <w:t xml:space="preserve"> </w:t>
      </w:r>
      <w:r w:rsidR="00A47976" w:rsidRPr="00893B17">
        <w:rPr>
          <w:lang w:val="en-US"/>
        </w:rPr>
        <w:t>nitrite</w:t>
      </w:r>
      <w:r w:rsidRPr="00893B17">
        <w:rPr>
          <w:lang w:val="en-US"/>
        </w:rPr>
        <w:t xml:space="preserve"> </w:t>
      </w:r>
      <w:r w:rsidR="00A47976">
        <w:rPr>
          <w:rFonts w:hint="eastAsia"/>
          <w:lang w:val="en-US"/>
        </w:rPr>
        <w:t xml:space="preserve">to </w:t>
      </w:r>
      <w:r w:rsidR="00A47976" w:rsidRPr="00893B17">
        <w:rPr>
          <w:lang w:val="en-US"/>
        </w:rPr>
        <w:t>nitrate</w:t>
      </w:r>
      <w:r w:rsidR="00A47976">
        <w:rPr>
          <w:rFonts w:hint="eastAsia"/>
          <w:lang w:val="en-US"/>
        </w:rPr>
        <w:t xml:space="preserve"> that can be</w:t>
      </w:r>
      <w:r w:rsidRPr="00893B17">
        <w:rPr>
          <w:lang w:val="en-US"/>
        </w:rPr>
        <w:t xml:space="preserve"> absorbed by plants.</w:t>
      </w:r>
    </w:p>
    <w:p w14:paraId="5968CE1B" w14:textId="77777777" w:rsidR="00893B17" w:rsidRPr="00893B17" w:rsidRDefault="00893B17" w:rsidP="00893B17">
      <w:pPr>
        <w:numPr>
          <w:ilvl w:val="0"/>
          <w:numId w:val="1"/>
        </w:numPr>
        <w:rPr>
          <w:lang w:val="en-US"/>
        </w:rPr>
      </w:pPr>
      <w:r w:rsidRPr="00893B17">
        <w:rPr>
          <w:b/>
          <w:bCs/>
          <w:lang w:val="en-US"/>
        </w:rPr>
        <w:t>Denitrification:</w:t>
      </w:r>
      <w:r w:rsidRPr="00893B17">
        <w:rPr>
          <w:lang w:val="en-US"/>
        </w:rPr>
        <w:t xml:space="preserve"> Some bacteria (e.g., </w:t>
      </w:r>
      <w:r w:rsidRPr="00893B17">
        <w:rPr>
          <w:i/>
          <w:iCs/>
          <w:lang w:val="en-US"/>
        </w:rPr>
        <w:t>Pseudomonas</w:t>
      </w:r>
      <w:r w:rsidRPr="00893B17">
        <w:rPr>
          <w:lang w:val="en-US"/>
        </w:rPr>
        <w:t>) convert nitrate back into nitrogen gas, potentially leading to nitrogen loss from the soil.</w:t>
      </w:r>
    </w:p>
    <w:p w14:paraId="24B7C910" w14:textId="61AA3C3D" w:rsidR="00893B17" w:rsidRDefault="00893B17" w:rsidP="00893B17">
      <w:pPr>
        <w:rPr>
          <w:lang w:val="en-US"/>
        </w:rPr>
      </w:pPr>
      <w:r w:rsidRPr="00893B17">
        <w:rPr>
          <w:lang w:val="en-US"/>
        </w:rPr>
        <w:t>The</w:t>
      </w:r>
      <w:r w:rsidR="00A47976">
        <w:rPr>
          <w:rFonts w:hint="eastAsia"/>
          <w:lang w:val="en-US"/>
        </w:rPr>
        <w:t xml:space="preserve"> composition and</w:t>
      </w:r>
      <w:r w:rsidRPr="00893B17">
        <w:rPr>
          <w:lang w:val="en-US"/>
        </w:rPr>
        <w:t xml:space="preserve"> balance of these </w:t>
      </w:r>
      <w:r w:rsidR="00A47976">
        <w:rPr>
          <w:rFonts w:hint="eastAsia"/>
          <w:lang w:val="en-US"/>
        </w:rPr>
        <w:t xml:space="preserve">microbiome </w:t>
      </w:r>
      <w:r w:rsidR="00831CD7">
        <w:rPr>
          <w:lang w:val="en-US"/>
        </w:rPr>
        <w:t>community</w:t>
      </w:r>
      <w:r w:rsidRPr="00893B17">
        <w:rPr>
          <w:lang w:val="en-US"/>
        </w:rPr>
        <w:t xml:space="preserve"> significantly impact nitrogen availability for plants.</w:t>
      </w:r>
    </w:p>
    <w:p w14:paraId="11636D50" w14:textId="77777777" w:rsidR="00A47976" w:rsidRPr="00893B17" w:rsidRDefault="00A47976" w:rsidP="00893B17">
      <w:pPr>
        <w:rPr>
          <w:lang w:val="en-US"/>
        </w:rPr>
      </w:pPr>
    </w:p>
    <w:p w14:paraId="39A929D4" w14:textId="77777777" w:rsidR="00893B17" w:rsidRPr="00893B17" w:rsidRDefault="00893B17" w:rsidP="00893B17">
      <w:pPr>
        <w:rPr>
          <w:lang w:val="en-US"/>
        </w:rPr>
      </w:pPr>
      <w:r w:rsidRPr="00893B17">
        <w:rPr>
          <w:b/>
          <w:bCs/>
          <w:lang w:val="en-US"/>
        </w:rPr>
        <w:t>1.2 Microbiome Shifts Under Nitrogen Stress</w:t>
      </w:r>
    </w:p>
    <w:p w14:paraId="29B67AA4" w14:textId="77777777" w:rsidR="00893B17" w:rsidRPr="00893B17" w:rsidRDefault="00893B17" w:rsidP="00893B17">
      <w:pPr>
        <w:rPr>
          <w:lang w:val="en-US"/>
        </w:rPr>
      </w:pPr>
      <w:r w:rsidRPr="00893B17">
        <w:rPr>
          <w:lang w:val="en-US"/>
        </w:rPr>
        <w:t>Nitrogen deficiency triggers significant shifts in the plant microbiome composition and function:</w:t>
      </w:r>
    </w:p>
    <w:p w14:paraId="588BAA23" w14:textId="77777777" w:rsidR="00893B17" w:rsidRPr="00893B17" w:rsidRDefault="00893B17" w:rsidP="00893B17">
      <w:pPr>
        <w:numPr>
          <w:ilvl w:val="0"/>
          <w:numId w:val="2"/>
        </w:numPr>
        <w:rPr>
          <w:lang w:val="en-US"/>
        </w:rPr>
      </w:pPr>
      <w:r w:rsidRPr="00893B17">
        <w:rPr>
          <w:b/>
          <w:bCs/>
          <w:lang w:val="en-US"/>
        </w:rPr>
        <w:t>Enrichment of Nitrogen Fixers:</w:t>
      </w:r>
      <w:r w:rsidRPr="00893B17">
        <w:rPr>
          <w:lang w:val="en-US"/>
        </w:rPr>
        <w:t xml:space="preserve"> Plants under nitrogen stress often recruit nitrogen-fixing bacteria to enhance nitrogen acquisition.</w:t>
      </w:r>
    </w:p>
    <w:p w14:paraId="010AE247" w14:textId="77777777" w:rsidR="00893B17" w:rsidRPr="00893B17" w:rsidRDefault="00893B17" w:rsidP="00893B17">
      <w:pPr>
        <w:numPr>
          <w:ilvl w:val="0"/>
          <w:numId w:val="2"/>
        </w:numPr>
        <w:rPr>
          <w:lang w:val="en-US"/>
        </w:rPr>
      </w:pPr>
      <w:r w:rsidRPr="00893B17">
        <w:rPr>
          <w:b/>
          <w:bCs/>
          <w:lang w:val="en-US"/>
        </w:rPr>
        <w:t>Altered Community Structure:</w:t>
      </w:r>
      <w:r w:rsidRPr="00893B17">
        <w:rPr>
          <w:lang w:val="en-US"/>
        </w:rPr>
        <w:t xml:space="preserve"> Overall microbiome diversity and abundance can be altered, with specific taxa better adapted to low nitrogen conditions becoming more prevalent.</w:t>
      </w:r>
    </w:p>
    <w:p w14:paraId="19975DF1" w14:textId="77777777" w:rsidR="00893B17" w:rsidRPr="00893B17" w:rsidRDefault="00893B17" w:rsidP="00893B17">
      <w:pPr>
        <w:numPr>
          <w:ilvl w:val="0"/>
          <w:numId w:val="2"/>
        </w:numPr>
        <w:rPr>
          <w:lang w:val="en-US"/>
        </w:rPr>
      </w:pPr>
      <w:r w:rsidRPr="00893B17">
        <w:rPr>
          <w:b/>
          <w:bCs/>
          <w:lang w:val="en-US"/>
        </w:rPr>
        <w:t>Functional Adaptation:</w:t>
      </w:r>
      <w:r w:rsidRPr="00893B17">
        <w:rPr>
          <w:lang w:val="en-US"/>
        </w:rPr>
        <w:t xml:space="preserve"> Microbial communities under nitrogen stress might exhibit altered gene expression profiles, shifting their metabolic priorities towards nitrogen scavenging and utilization pathways.</w:t>
      </w:r>
    </w:p>
    <w:p w14:paraId="5EFB971B" w14:textId="56E11718" w:rsidR="00893B17" w:rsidRDefault="00893B17" w:rsidP="00893B17">
      <w:pPr>
        <w:rPr>
          <w:lang w:val="en-US"/>
        </w:rPr>
      </w:pPr>
      <w:r w:rsidRPr="00893B17">
        <w:rPr>
          <w:lang w:val="en-US"/>
        </w:rPr>
        <w:t xml:space="preserve">Understanding these shifts is crucial for developing strategies to </w:t>
      </w:r>
      <w:r w:rsidR="00831CD7">
        <w:rPr>
          <w:rFonts w:hint="eastAsia"/>
          <w:lang w:val="en-US"/>
        </w:rPr>
        <w:t>relieve</w:t>
      </w:r>
      <w:r w:rsidRPr="00893B17">
        <w:rPr>
          <w:lang w:val="en-US"/>
        </w:rPr>
        <w:t xml:space="preserve"> nitrogen stress in plants.</w:t>
      </w:r>
    </w:p>
    <w:p w14:paraId="7304E758" w14:textId="77777777" w:rsidR="00831CD7" w:rsidRPr="00893B17" w:rsidRDefault="00831CD7" w:rsidP="00893B17">
      <w:pPr>
        <w:rPr>
          <w:lang w:val="en-US"/>
        </w:rPr>
      </w:pPr>
    </w:p>
    <w:p w14:paraId="74E0C0C2" w14:textId="77777777" w:rsidR="00893B17" w:rsidRPr="00893B17" w:rsidRDefault="00893B17" w:rsidP="00893B17">
      <w:pPr>
        <w:rPr>
          <w:lang w:val="en-US"/>
        </w:rPr>
      </w:pPr>
      <w:r w:rsidRPr="00893B17">
        <w:rPr>
          <w:b/>
          <w:bCs/>
          <w:lang w:val="en-US"/>
        </w:rPr>
        <w:t>2. Microbial Association Network Inference</w:t>
      </w:r>
    </w:p>
    <w:p w14:paraId="6D4FC1D1" w14:textId="77777777" w:rsidR="00893B17" w:rsidRPr="00893B17" w:rsidRDefault="00893B17" w:rsidP="00893B17">
      <w:pPr>
        <w:rPr>
          <w:lang w:val="en-US"/>
        </w:rPr>
      </w:pPr>
      <w:r w:rsidRPr="00893B17">
        <w:rPr>
          <w:b/>
          <w:bCs/>
          <w:lang w:val="en-US"/>
        </w:rPr>
        <w:t>2.1 Traditional Methods</w:t>
      </w:r>
    </w:p>
    <w:p w14:paraId="42001BE9" w14:textId="7D5197B1" w:rsidR="00893B17" w:rsidRPr="00893B17" w:rsidRDefault="00893B17" w:rsidP="00893B17">
      <w:pPr>
        <w:numPr>
          <w:ilvl w:val="0"/>
          <w:numId w:val="3"/>
        </w:numPr>
        <w:rPr>
          <w:lang w:val="en-US"/>
        </w:rPr>
      </w:pPr>
      <w:r w:rsidRPr="00893B17">
        <w:rPr>
          <w:b/>
          <w:bCs/>
          <w:lang w:val="en-US"/>
        </w:rPr>
        <w:t>Correlation-based Methods:</w:t>
      </w:r>
      <w:r w:rsidRPr="00893B17">
        <w:rPr>
          <w:lang w:val="en-US"/>
        </w:rPr>
        <w:t xml:space="preserve"> These rely on calculating pairwise correlations (e.g., Pearson, Spearman) between microbial abundance profiles. Simple to implement but susceptible to </w:t>
      </w:r>
      <w:r w:rsidR="00831CD7">
        <w:rPr>
          <w:rFonts w:hint="eastAsia"/>
          <w:lang w:val="en-US"/>
        </w:rPr>
        <w:t>false</w:t>
      </w:r>
      <w:r w:rsidRPr="00893B17">
        <w:rPr>
          <w:lang w:val="en-US"/>
        </w:rPr>
        <w:t xml:space="preserve"> correlations.</w:t>
      </w:r>
    </w:p>
    <w:p w14:paraId="193B7F08" w14:textId="77777777" w:rsidR="00893B17" w:rsidRPr="00893B17" w:rsidRDefault="00893B17" w:rsidP="00893B17">
      <w:pPr>
        <w:numPr>
          <w:ilvl w:val="0"/>
          <w:numId w:val="3"/>
        </w:numPr>
        <w:rPr>
          <w:lang w:val="en-US"/>
        </w:rPr>
      </w:pPr>
      <w:r w:rsidRPr="00893B17">
        <w:rPr>
          <w:b/>
          <w:bCs/>
          <w:lang w:val="en-US"/>
        </w:rPr>
        <w:t>Bayesian Networks:</w:t>
      </w:r>
      <w:r w:rsidRPr="00893B17">
        <w:rPr>
          <w:lang w:val="en-US"/>
        </w:rPr>
        <w:t xml:space="preserve"> Employ probabilistic graphical models to infer causal relationships between microbes. Can capture complex dependencies but computationally demanding.</w:t>
      </w:r>
    </w:p>
    <w:p w14:paraId="7DEAF914" w14:textId="77777777" w:rsidR="00893B17" w:rsidRPr="00893B17" w:rsidRDefault="00893B17" w:rsidP="00893B17">
      <w:pPr>
        <w:rPr>
          <w:lang w:val="en-US"/>
        </w:rPr>
      </w:pPr>
      <w:r w:rsidRPr="00893B17">
        <w:rPr>
          <w:b/>
          <w:bCs/>
          <w:lang w:val="en-US"/>
        </w:rPr>
        <w:t>2.2 Network Structure and Organization Metrics</w:t>
      </w:r>
    </w:p>
    <w:p w14:paraId="3A6275AB" w14:textId="77777777" w:rsidR="00893B17" w:rsidRPr="00893B17" w:rsidRDefault="00893B17" w:rsidP="00893B17">
      <w:pPr>
        <w:rPr>
          <w:lang w:val="en-US"/>
        </w:rPr>
      </w:pPr>
      <w:r w:rsidRPr="00893B17">
        <w:rPr>
          <w:lang w:val="en-US"/>
        </w:rPr>
        <w:t>Common metrics to characterize networks include:</w:t>
      </w:r>
    </w:p>
    <w:p w14:paraId="6E48EF45" w14:textId="77777777" w:rsidR="00893B17" w:rsidRPr="00893B17" w:rsidRDefault="00893B17" w:rsidP="00893B17">
      <w:pPr>
        <w:numPr>
          <w:ilvl w:val="0"/>
          <w:numId w:val="4"/>
        </w:numPr>
        <w:rPr>
          <w:lang w:val="en-US"/>
        </w:rPr>
      </w:pPr>
      <w:r w:rsidRPr="00893B17">
        <w:rPr>
          <w:b/>
          <w:bCs/>
          <w:lang w:val="en-US"/>
        </w:rPr>
        <w:t>Node Degree Centrality:</w:t>
      </w:r>
      <w:r w:rsidRPr="00893B17">
        <w:rPr>
          <w:lang w:val="en-US"/>
        </w:rPr>
        <w:t xml:space="preserve"> Measures the number of connections a node (microbe) has, reflecting its importance in the network.</w:t>
      </w:r>
    </w:p>
    <w:p w14:paraId="7F101536" w14:textId="77777777" w:rsidR="00893B17" w:rsidRPr="00893B17" w:rsidRDefault="00893B17" w:rsidP="00893B17">
      <w:pPr>
        <w:numPr>
          <w:ilvl w:val="0"/>
          <w:numId w:val="4"/>
        </w:numPr>
        <w:rPr>
          <w:lang w:val="en-US"/>
        </w:rPr>
      </w:pPr>
      <w:r w:rsidRPr="00893B17">
        <w:rPr>
          <w:b/>
          <w:bCs/>
          <w:lang w:val="en-US"/>
        </w:rPr>
        <w:t>Betweenness Centrality:</w:t>
      </w:r>
      <w:r w:rsidRPr="00893B17">
        <w:rPr>
          <w:lang w:val="en-US"/>
        </w:rPr>
        <w:t xml:space="preserve"> Quantifies how often a node lies on the shortest path between other nodes, indicating its role in connecting different parts of the network.</w:t>
      </w:r>
    </w:p>
    <w:p w14:paraId="270AAF3B" w14:textId="70234F38" w:rsidR="00893B17" w:rsidRPr="00893B17" w:rsidRDefault="00893B17" w:rsidP="00893B17">
      <w:pPr>
        <w:numPr>
          <w:ilvl w:val="0"/>
          <w:numId w:val="4"/>
        </w:numPr>
        <w:rPr>
          <w:lang w:val="en-US"/>
        </w:rPr>
      </w:pPr>
      <w:r w:rsidRPr="00893B17">
        <w:rPr>
          <w:b/>
          <w:bCs/>
          <w:lang w:val="en-US"/>
        </w:rPr>
        <w:t>Modularity:</w:t>
      </w:r>
      <w:r w:rsidRPr="00893B17">
        <w:rPr>
          <w:lang w:val="en-US"/>
        </w:rPr>
        <w:t xml:space="preserve"> Identifies clusters of nodes </w:t>
      </w:r>
      <w:r w:rsidR="00E37685" w:rsidRPr="00893B17">
        <w:rPr>
          <w:lang w:val="en-US"/>
        </w:rPr>
        <w:t>(</w:t>
      </w:r>
      <w:r w:rsidR="00E37685">
        <w:rPr>
          <w:lang w:val="en-US"/>
        </w:rPr>
        <w:t>i.e.</w:t>
      </w:r>
      <w:r w:rsidR="00E37685">
        <w:rPr>
          <w:rFonts w:hint="eastAsia"/>
          <w:lang w:val="en-US"/>
        </w:rPr>
        <w:t xml:space="preserve"> </w:t>
      </w:r>
      <w:r w:rsidRPr="00893B17">
        <w:rPr>
          <w:lang w:val="en-US"/>
        </w:rPr>
        <w:t>modules) with dense connections within the module and sparser connections between modules.</w:t>
      </w:r>
    </w:p>
    <w:p w14:paraId="432EA19F" w14:textId="1EFA261C" w:rsidR="00893B17" w:rsidRPr="000570D2" w:rsidRDefault="00893B17" w:rsidP="000570D2">
      <w:pPr>
        <w:pStyle w:val="ListParagraph"/>
        <w:numPr>
          <w:ilvl w:val="1"/>
          <w:numId w:val="11"/>
        </w:numPr>
        <w:ind w:firstLineChars="0"/>
        <w:rPr>
          <w:rFonts w:hint="eastAsia"/>
          <w:lang w:val="en-US"/>
        </w:rPr>
      </w:pPr>
      <w:r w:rsidRPr="000570D2">
        <w:rPr>
          <w:b/>
          <w:bCs/>
          <w:lang w:val="en-US"/>
        </w:rPr>
        <w:lastRenderedPageBreak/>
        <w:t>SPRING Framework</w:t>
      </w:r>
    </w:p>
    <w:p w14:paraId="555125D0" w14:textId="732F2F68" w:rsidR="0079750B" w:rsidRDefault="0079750B" w:rsidP="000570D2">
      <w:pPr>
        <w:rPr>
          <w:lang w:val="en-US"/>
        </w:rPr>
      </w:pPr>
      <w:r w:rsidRPr="0079750B">
        <w:t>Unlike many methods built for relative abundances,</w:t>
      </w:r>
      <w:r w:rsidRPr="0079750B">
        <w:rPr>
          <w:lang w:val="en-US"/>
        </w:rPr>
        <w:t xml:space="preserve"> </w:t>
      </w:r>
      <w:r w:rsidR="000570D2" w:rsidRPr="000570D2">
        <w:rPr>
          <w:lang w:val="en-US"/>
        </w:rPr>
        <w:t>SPRING specifically handles absolute microbial counts, leveraging the richness of quantitative data.</w:t>
      </w:r>
    </w:p>
    <w:p w14:paraId="4CEE676F" w14:textId="77777777" w:rsidR="000570D2" w:rsidRDefault="000570D2" w:rsidP="000570D2">
      <w:pPr>
        <w:numPr>
          <w:ilvl w:val="0"/>
          <w:numId w:val="13"/>
        </w:numPr>
        <w:rPr>
          <w:lang w:val="en-US"/>
        </w:rPr>
      </w:pPr>
      <w:r w:rsidRPr="000570D2">
        <w:rPr>
          <w:b/>
          <w:bCs/>
        </w:rPr>
        <w:t>Robust to Compositionality and Zero Inflation</w:t>
      </w:r>
      <w:r w:rsidR="00893B17" w:rsidRPr="000570D2">
        <w:rPr>
          <w:b/>
          <w:bCs/>
          <w:lang w:val="en-US"/>
        </w:rPr>
        <w:t>:</w:t>
      </w:r>
      <w:r w:rsidR="00893B17" w:rsidRPr="000570D2">
        <w:rPr>
          <w:lang w:val="en-US"/>
        </w:rPr>
        <w:t xml:space="preserve"> </w:t>
      </w:r>
    </w:p>
    <w:p w14:paraId="1FB553CE" w14:textId="4DB25186" w:rsidR="000570D2" w:rsidRPr="000570D2" w:rsidRDefault="000570D2" w:rsidP="000570D2">
      <w:pPr>
        <w:numPr>
          <w:ilvl w:val="1"/>
          <w:numId w:val="13"/>
        </w:numPr>
        <w:rPr>
          <w:lang w:val="en-US"/>
        </w:rPr>
      </w:pPr>
      <w:r w:rsidRPr="000570D2">
        <w:rPr>
          <w:b/>
          <w:bCs/>
          <w:lang w:val="en-US"/>
        </w:rPr>
        <w:t>Semi-parametric Rank-Based Correlation:</w:t>
      </w:r>
      <w:r w:rsidRPr="000570D2">
        <w:rPr>
          <w:lang w:val="en-US"/>
        </w:rPr>
        <w:t> Employs a rank-based correlation estimator that is not affected by non-normality and is less sensitive to outliers and zero inflation compared to standard correlation methods.</w:t>
      </w:r>
    </w:p>
    <w:p w14:paraId="2EE4DC17" w14:textId="02FC8368" w:rsidR="0079750B" w:rsidRDefault="000570D2" w:rsidP="0079750B">
      <w:pPr>
        <w:numPr>
          <w:ilvl w:val="1"/>
          <w:numId w:val="13"/>
        </w:numPr>
        <w:rPr>
          <w:lang w:val="en-US"/>
        </w:rPr>
      </w:pPr>
      <w:r w:rsidRPr="000570D2">
        <w:rPr>
          <w:b/>
          <w:bCs/>
          <w:lang w:val="en-US"/>
        </w:rPr>
        <w:t>Modified CLR Transformation:</w:t>
      </w:r>
      <w:r w:rsidRPr="000570D2">
        <w:rPr>
          <w:lang w:val="en-US"/>
        </w:rPr>
        <w:t> Accommodates relative abundance data by using a modified centered log-ratio transformation, effectively handling zeros and the unit-sum constraint without needing pseudo-counts.</w:t>
      </w:r>
    </w:p>
    <w:p w14:paraId="56FD402C" w14:textId="77777777" w:rsidR="0079750B" w:rsidRDefault="0079750B" w:rsidP="0079750B">
      <w:pPr>
        <w:pStyle w:val="ListParagraph"/>
        <w:numPr>
          <w:ilvl w:val="0"/>
          <w:numId w:val="13"/>
        </w:numPr>
        <w:ind w:firstLineChars="0"/>
        <w:rPr>
          <w:b/>
          <w:bCs/>
        </w:rPr>
      </w:pPr>
      <w:r w:rsidRPr="0079750B">
        <w:rPr>
          <w:b/>
          <w:bCs/>
        </w:rPr>
        <w:t>Group-Wise Network Comparisons:</w:t>
      </w:r>
    </w:p>
    <w:p w14:paraId="2BBC782A" w14:textId="45B772C5" w:rsidR="0079750B" w:rsidRPr="0079750B" w:rsidRDefault="0079750B" w:rsidP="0079750B">
      <w:pPr>
        <w:pStyle w:val="ListParagraph"/>
        <w:numPr>
          <w:ilvl w:val="1"/>
          <w:numId w:val="13"/>
        </w:numPr>
        <w:ind w:firstLineChars="0"/>
        <w:rPr>
          <w:b/>
          <w:bCs/>
        </w:rPr>
      </w:pPr>
      <w:r w:rsidRPr="0079750B">
        <w:rPr>
          <w:lang w:val="en-US"/>
        </w:rPr>
        <w:t>Can be extended with fused lasso or group lasso regularization to construct group-wise networks, encouraging shared sparsity patterns between groups. This allows for powerful comparisons across different conditions (</w:t>
      </w:r>
      <w:r>
        <w:rPr>
          <w:rFonts w:hint="eastAsia"/>
          <w:lang w:val="en-US"/>
        </w:rPr>
        <w:t>i.e</w:t>
      </w:r>
      <w:r w:rsidRPr="0079750B">
        <w:rPr>
          <w:lang w:val="en-US"/>
        </w:rPr>
        <w:t>., nitrogen availability) to identify key shifts in microbial interactions.</w:t>
      </w:r>
    </w:p>
    <w:p w14:paraId="00401044" w14:textId="2A024304" w:rsidR="0079750B" w:rsidRDefault="0079750B" w:rsidP="0079750B">
      <w:pPr>
        <w:pStyle w:val="ListParagraph"/>
        <w:numPr>
          <w:ilvl w:val="0"/>
          <w:numId w:val="13"/>
        </w:numPr>
        <w:ind w:firstLineChars="0"/>
        <w:rPr>
          <w:b/>
          <w:bCs/>
        </w:rPr>
      </w:pPr>
      <w:r w:rsidRPr="0079750B">
        <w:rPr>
          <w:b/>
          <w:bCs/>
        </w:rPr>
        <w:t>Robustness to Total Abundance Misspecification:</w:t>
      </w:r>
    </w:p>
    <w:p w14:paraId="0C71D6CF" w14:textId="07F9DECF" w:rsidR="0079750B" w:rsidRPr="0079750B" w:rsidRDefault="0079750B" w:rsidP="0079750B">
      <w:pPr>
        <w:pStyle w:val="ListParagraph"/>
        <w:numPr>
          <w:ilvl w:val="1"/>
          <w:numId w:val="13"/>
        </w:numPr>
        <w:ind w:firstLineChars="0"/>
        <w:rPr>
          <w:rFonts w:hint="eastAsia"/>
          <w:lang w:val="en-US"/>
        </w:rPr>
      </w:pPr>
      <w:r w:rsidRPr="0079750B">
        <w:rPr>
          <w:lang w:val="en-US"/>
        </w:rPr>
        <w:t>Resile to inaccuracies in total abundance estimates, making it suitable for real-world scenarios where precise cell counts are challenging to obtain.</w:t>
      </w:r>
    </w:p>
    <w:p w14:paraId="5F917042" w14:textId="23A83371" w:rsidR="000570D2" w:rsidRPr="000570D2" w:rsidRDefault="000570D2" w:rsidP="000570D2">
      <w:pPr>
        <w:ind w:firstLine="420"/>
        <w:rPr>
          <w:rFonts w:hint="eastAsia"/>
          <w:lang w:val="en-US"/>
        </w:rPr>
      </w:pPr>
    </w:p>
    <w:p w14:paraId="3F9A1902" w14:textId="77777777" w:rsidR="00E37685" w:rsidRDefault="00E37685" w:rsidP="00E37685">
      <w:pPr>
        <w:pStyle w:val="ListParagraph"/>
        <w:numPr>
          <w:ilvl w:val="1"/>
          <w:numId w:val="7"/>
        </w:numPr>
        <w:ind w:firstLineChars="0"/>
        <w:rPr>
          <w:lang w:val="en-US"/>
        </w:rPr>
      </w:pPr>
      <w:r w:rsidRPr="00E37685">
        <w:rPr>
          <w:b/>
          <w:bCs/>
          <w:lang w:val="en-US"/>
        </w:rPr>
        <w:t>Graphical Modeling Approaches:</w:t>
      </w:r>
      <w:r w:rsidRPr="00E37685">
        <w:rPr>
          <w:lang w:val="en-US"/>
        </w:rPr>
        <w:t xml:space="preserve"> </w:t>
      </w:r>
    </w:p>
    <w:p w14:paraId="02877828" w14:textId="6A88CBCC" w:rsidR="00E37685" w:rsidRPr="00E37685" w:rsidRDefault="00E37685" w:rsidP="00E37685">
      <w:pPr>
        <w:rPr>
          <w:lang w:val="en-US"/>
        </w:rPr>
      </w:pPr>
      <w:r w:rsidRPr="00E37685">
        <w:rPr>
          <w:lang w:val="en-US"/>
        </w:rPr>
        <w:t>Estimate sparse inverse covariance matrices (</w:t>
      </w:r>
      <w:r>
        <w:rPr>
          <w:rFonts w:hint="eastAsia"/>
          <w:lang w:val="en-US"/>
        </w:rPr>
        <w:t xml:space="preserve">i.e. </w:t>
      </w:r>
      <w:r w:rsidRPr="00E37685">
        <w:rPr>
          <w:lang w:val="en-US"/>
        </w:rPr>
        <w:t xml:space="preserve">precision matrices) representing conditional dependencies. Examples include the Graphical Lasso and its </w:t>
      </w:r>
      <w:r>
        <w:rPr>
          <w:rFonts w:hint="eastAsia"/>
          <w:lang w:val="en-US"/>
        </w:rPr>
        <w:t>variants.</w:t>
      </w:r>
      <w:r w:rsidRPr="00E37685">
        <w:rPr>
          <w:lang w:val="en-US"/>
        </w:rPr>
        <w:t xml:space="preserve"> (e.g., </w:t>
      </w:r>
      <w:r>
        <w:rPr>
          <w:rFonts w:hint="eastAsia"/>
          <w:lang w:val="en-US"/>
        </w:rPr>
        <w:t>FGL, GGL</w:t>
      </w:r>
      <w:r w:rsidRPr="00E37685">
        <w:rPr>
          <w:lang w:val="en-US"/>
        </w:rPr>
        <w:t>).</w:t>
      </w:r>
    </w:p>
    <w:p w14:paraId="327FCCF9" w14:textId="56E88C70" w:rsidR="00E37685" w:rsidRPr="00E37685" w:rsidRDefault="00E37685" w:rsidP="00E37685">
      <w:pPr>
        <w:ind w:firstLine="360"/>
        <w:rPr>
          <w:lang w:val="en-US"/>
        </w:rPr>
      </w:pPr>
      <w:r>
        <w:rPr>
          <w:rFonts w:hint="eastAsia"/>
          <w:b/>
          <w:bCs/>
          <w:lang w:val="en-US"/>
        </w:rPr>
        <w:t xml:space="preserve">2.4.1 </w:t>
      </w:r>
      <w:r w:rsidRPr="00E37685">
        <w:rPr>
          <w:b/>
          <w:bCs/>
          <w:lang w:val="en-US"/>
        </w:rPr>
        <w:t>Fused Graphical Lasso (FGL):</w:t>
      </w:r>
    </w:p>
    <w:p w14:paraId="6BE72EEB" w14:textId="68FE0C87" w:rsidR="00E37685" w:rsidRPr="00E37685" w:rsidRDefault="00E37685" w:rsidP="00E37685">
      <w:pPr>
        <w:numPr>
          <w:ilvl w:val="0"/>
          <w:numId w:val="8"/>
        </w:numPr>
        <w:rPr>
          <w:lang w:val="en-US"/>
        </w:rPr>
      </w:pPr>
      <w:r w:rsidRPr="00E37685">
        <w:rPr>
          <w:b/>
          <w:bCs/>
          <w:lang w:val="en-US"/>
        </w:rPr>
        <w:t>Capturing Subtle Differences:</w:t>
      </w:r>
      <w:r w:rsidRPr="00E37685">
        <w:rPr>
          <w:lang w:val="en-US"/>
        </w:rPr>
        <w:t> FGL excels at identifying subtle variations in network structures and edge strengths between conditions</w:t>
      </w:r>
      <w:r>
        <w:rPr>
          <w:rFonts w:hint="eastAsia"/>
          <w:lang w:val="en-US"/>
        </w:rPr>
        <w:t>(K</w:t>
      </w:r>
      <w:r>
        <w:rPr>
          <w:rFonts w:hint="eastAsia"/>
          <w:lang w:val="en-US"/>
        </w:rPr>
        <w:t>≥</w:t>
      </w:r>
      <w:r>
        <w:rPr>
          <w:rFonts w:hint="eastAsia"/>
          <w:lang w:val="en-US"/>
        </w:rPr>
        <w:t>2)</w:t>
      </w:r>
      <w:r w:rsidRPr="00E37685">
        <w:rPr>
          <w:lang w:val="en-US"/>
        </w:rPr>
        <w:t>. This is relevant because the project aims to understand how nitrogen availability </w:t>
      </w:r>
      <w:r w:rsidR="0052667D">
        <w:rPr>
          <w:rFonts w:hint="eastAsia"/>
          <w:lang w:val="en-US"/>
        </w:rPr>
        <w:t>shapes</w:t>
      </w:r>
      <w:r w:rsidR="0052667D" w:rsidRPr="00E37685">
        <w:rPr>
          <w:lang w:val="en-US"/>
        </w:rPr>
        <w:t xml:space="preserve"> </w:t>
      </w:r>
      <w:r w:rsidRPr="00E37685">
        <w:rPr>
          <w:lang w:val="en-US"/>
        </w:rPr>
        <w:t>the network, implying the existence of both shared and unique interaction patterns.</w:t>
      </w:r>
    </w:p>
    <w:p w14:paraId="1EFFD722" w14:textId="77777777" w:rsidR="00E37685" w:rsidRPr="00E37685" w:rsidRDefault="00E37685" w:rsidP="00E37685">
      <w:pPr>
        <w:numPr>
          <w:ilvl w:val="0"/>
          <w:numId w:val="8"/>
        </w:numPr>
        <w:rPr>
          <w:lang w:val="en-US"/>
        </w:rPr>
      </w:pPr>
      <w:r w:rsidRPr="00E37685">
        <w:rPr>
          <w:b/>
          <w:bCs/>
          <w:lang w:val="en-US"/>
        </w:rPr>
        <w:t>Biological Rationale:</w:t>
      </w:r>
      <w:r w:rsidRPr="00E37685">
        <w:rPr>
          <w:lang w:val="en-US"/>
        </w:rPr>
        <w:t> Microbiome responses to environmental changes often involve gradual shifts in species abundances and interaction strengths. FGL's ability to model both shared edges and differing edge values aligns well with this biological expectation.</w:t>
      </w:r>
    </w:p>
    <w:p w14:paraId="463F3956" w14:textId="27902C54" w:rsidR="00E37685" w:rsidRDefault="00E37685" w:rsidP="0052667D">
      <w:pPr>
        <w:numPr>
          <w:ilvl w:val="0"/>
          <w:numId w:val="8"/>
        </w:numPr>
        <w:rPr>
          <w:lang w:val="en-US"/>
        </w:rPr>
      </w:pPr>
      <w:r w:rsidRPr="00E37685">
        <w:rPr>
          <w:b/>
          <w:bCs/>
          <w:lang w:val="en-US"/>
        </w:rPr>
        <w:t>Hypothesis Generation:</w:t>
      </w:r>
      <w:r w:rsidRPr="00E37685">
        <w:rPr>
          <w:lang w:val="en-US"/>
        </w:rPr>
        <w:t> By highlighting edges that differ significantly between nitrogen conditions, FGL can pinpoint key microbial interactions potentially responsible for plant adaptation to nitrogen stress. This can guide further targeted experimental investigations.</w:t>
      </w:r>
    </w:p>
    <w:p w14:paraId="4D00E4F0" w14:textId="77777777" w:rsidR="0052667D" w:rsidRDefault="0052667D" w:rsidP="0052667D">
      <w:pPr>
        <w:ind w:firstLine="420"/>
        <w:rPr>
          <w:b/>
          <w:bCs/>
          <w:lang w:val="en-US"/>
        </w:rPr>
      </w:pPr>
      <w:r>
        <w:rPr>
          <w:rFonts w:hint="eastAsia"/>
          <w:b/>
          <w:bCs/>
          <w:lang w:val="en-US"/>
        </w:rPr>
        <w:t xml:space="preserve">2.4.2 </w:t>
      </w:r>
      <w:r w:rsidRPr="0052667D">
        <w:rPr>
          <w:b/>
          <w:bCs/>
          <w:lang w:val="en-US"/>
        </w:rPr>
        <w:t>Group Graphical Lasso (GGL):</w:t>
      </w:r>
    </w:p>
    <w:p w14:paraId="74D7CD3F" w14:textId="77777777" w:rsidR="0052667D" w:rsidRDefault="0052667D" w:rsidP="0052667D">
      <w:pPr>
        <w:numPr>
          <w:ilvl w:val="0"/>
          <w:numId w:val="8"/>
        </w:numPr>
        <w:rPr>
          <w:b/>
          <w:bCs/>
          <w:lang w:val="en-US"/>
        </w:rPr>
      </w:pPr>
      <w:r w:rsidRPr="0052667D">
        <w:rPr>
          <w:b/>
          <w:bCs/>
          <w:lang w:val="en-US"/>
        </w:rPr>
        <w:t xml:space="preserve">Identifying Core Structure: </w:t>
      </w:r>
      <w:r w:rsidRPr="0052667D">
        <w:rPr>
          <w:rFonts w:hint="eastAsia"/>
          <w:lang w:val="en-US"/>
        </w:rPr>
        <w:t>G</w:t>
      </w:r>
      <w:r w:rsidRPr="0052667D">
        <w:rPr>
          <w:lang w:val="en-US"/>
        </w:rPr>
        <w:t>GL is ideal for identifying a core set of interactions that remain consistent across both nitrogen conditions. This core network represents the fundamental relationships within the plant microbiome, regardless of nitrogen availability.</w:t>
      </w:r>
    </w:p>
    <w:p w14:paraId="40F11E04" w14:textId="77777777" w:rsidR="0052667D" w:rsidRDefault="0052667D" w:rsidP="0052667D">
      <w:pPr>
        <w:numPr>
          <w:ilvl w:val="0"/>
          <w:numId w:val="8"/>
        </w:numPr>
        <w:rPr>
          <w:b/>
          <w:bCs/>
          <w:lang w:val="en-US"/>
        </w:rPr>
      </w:pPr>
      <w:r w:rsidRPr="0052667D">
        <w:rPr>
          <w:b/>
          <w:bCs/>
          <w:lang w:val="en-US"/>
        </w:rPr>
        <w:t>Robustness to Noise</w:t>
      </w:r>
      <w:r w:rsidRPr="0052667D">
        <w:rPr>
          <w:lang w:val="en-US"/>
        </w:rPr>
        <w:t>: By focusing on shared sparsity patterns, GGL can be more robust to noise or variations in individual datasets compared to methods that estimate networks independently for each condition.</w:t>
      </w:r>
    </w:p>
    <w:p w14:paraId="0BC3F1F8" w14:textId="413FA030" w:rsidR="0052667D" w:rsidRPr="0052667D" w:rsidRDefault="0052667D" w:rsidP="0052667D">
      <w:pPr>
        <w:numPr>
          <w:ilvl w:val="0"/>
          <w:numId w:val="8"/>
        </w:numPr>
        <w:rPr>
          <w:rFonts w:hint="eastAsia"/>
          <w:b/>
          <w:bCs/>
          <w:lang w:val="en-US"/>
        </w:rPr>
      </w:pPr>
      <w:r w:rsidRPr="0052667D">
        <w:rPr>
          <w:b/>
          <w:bCs/>
          <w:lang w:val="en-US"/>
        </w:rPr>
        <w:t>Comparative Analysis:</w:t>
      </w:r>
      <w:r w:rsidRPr="0052667D">
        <w:rPr>
          <w:lang w:val="en-US"/>
        </w:rPr>
        <w:t xml:space="preserve"> After identifying the core structure, GGL allows for </w:t>
      </w:r>
      <w:r w:rsidRPr="0052667D">
        <w:rPr>
          <w:lang w:val="en-US"/>
        </w:rPr>
        <w:lastRenderedPageBreak/>
        <w:t>comparisons of edge strengths between nitrogen conditions, highlighting interactions that are specifically amplified or weakened under nitrogen stress.</w:t>
      </w:r>
    </w:p>
    <w:sectPr w:rsidR="0052667D" w:rsidRPr="005266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DC1"/>
    <w:multiLevelType w:val="multilevel"/>
    <w:tmpl w:val="C6D09B40"/>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4600FD2"/>
    <w:multiLevelType w:val="hybridMultilevel"/>
    <w:tmpl w:val="5EDEFE7A"/>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2" w15:restartNumberingAfterBreak="0">
    <w:nsid w:val="10011B91"/>
    <w:multiLevelType w:val="multilevel"/>
    <w:tmpl w:val="84287002"/>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 w15:restartNumberingAfterBreak="0">
    <w:nsid w:val="1CC8567F"/>
    <w:multiLevelType w:val="hybridMultilevel"/>
    <w:tmpl w:val="42C876D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D976863"/>
    <w:multiLevelType w:val="multilevel"/>
    <w:tmpl w:val="B42C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F68D1"/>
    <w:multiLevelType w:val="multilevel"/>
    <w:tmpl w:val="C6BA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C0CB7"/>
    <w:multiLevelType w:val="multilevel"/>
    <w:tmpl w:val="D158DBB4"/>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54464A82"/>
    <w:multiLevelType w:val="multilevel"/>
    <w:tmpl w:val="487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54B00"/>
    <w:multiLevelType w:val="hybridMultilevel"/>
    <w:tmpl w:val="CECE7504"/>
    <w:lvl w:ilvl="0" w:tplc="487ABF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0A30DC6"/>
    <w:multiLevelType w:val="multilevel"/>
    <w:tmpl w:val="326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4746F"/>
    <w:multiLevelType w:val="multilevel"/>
    <w:tmpl w:val="527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E25B9"/>
    <w:multiLevelType w:val="hybridMultilevel"/>
    <w:tmpl w:val="BEB249C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6EA16178"/>
    <w:multiLevelType w:val="multilevel"/>
    <w:tmpl w:val="EA8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664400">
    <w:abstractNumId w:val="7"/>
  </w:num>
  <w:num w:numId="2" w16cid:durableId="181478754">
    <w:abstractNumId w:val="12"/>
  </w:num>
  <w:num w:numId="3" w16cid:durableId="58209679">
    <w:abstractNumId w:val="10"/>
  </w:num>
  <w:num w:numId="4" w16cid:durableId="1057312977">
    <w:abstractNumId w:val="9"/>
  </w:num>
  <w:num w:numId="5" w16cid:durableId="464930302">
    <w:abstractNumId w:val="5"/>
  </w:num>
  <w:num w:numId="6" w16cid:durableId="1036199708">
    <w:abstractNumId w:val="8"/>
  </w:num>
  <w:num w:numId="7" w16cid:durableId="177276265">
    <w:abstractNumId w:val="6"/>
  </w:num>
  <w:num w:numId="8" w16cid:durableId="1072049349">
    <w:abstractNumId w:val="2"/>
  </w:num>
  <w:num w:numId="9" w16cid:durableId="1579829456">
    <w:abstractNumId w:val="3"/>
  </w:num>
  <w:num w:numId="10" w16cid:durableId="924071648">
    <w:abstractNumId w:val="11"/>
  </w:num>
  <w:num w:numId="11" w16cid:durableId="1125470301">
    <w:abstractNumId w:val="0"/>
  </w:num>
  <w:num w:numId="12" w16cid:durableId="498426963">
    <w:abstractNumId w:val="1"/>
  </w:num>
  <w:num w:numId="13" w16cid:durableId="22439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1E"/>
    <w:rsid w:val="000570D2"/>
    <w:rsid w:val="0052667D"/>
    <w:rsid w:val="0079750B"/>
    <w:rsid w:val="00831CD7"/>
    <w:rsid w:val="00893B17"/>
    <w:rsid w:val="00A47976"/>
    <w:rsid w:val="00BC5072"/>
    <w:rsid w:val="00E37685"/>
    <w:rsid w:val="00EF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FC83"/>
  <w15:chartTrackingRefBased/>
  <w15:docId w15:val="{37667B36-2EAA-4018-83D2-B75E9676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172">
      <w:bodyDiv w:val="1"/>
      <w:marLeft w:val="0"/>
      <w:marRight w:val="0"/>
      <w:marTop w:val="0"/>
      <w:marBottom w:val="0"/>
      <w:divBdr>
        <w:top w:val="none" w:sz="0" w:space="0" w:color="auto"/>
        <w:left w:val="none" w:sz="0" w:space="0" w:color="auto"/>
        <w:bottom w:val="none" w:sz="0" w:space="0" w:color="auto"/>
        <w:right w:val="none" w:sz="0" w:space="0" w:color="auto"/>
      </w:divBdr>
    </w:div>
    <w:div w:id="171918786">
      <w:bodyDiv w:val="1"/>
      <w:marLeft w:val="0"/>
      <w:marRight w:val="0"/>
      <w:marTop w:val="0"/>
      <w:marBottom w:val="0"/>
      <w:divBdr>
        <w:top w:val="none" w:sz="0" w:space="0" w:color="auto"/>
        <w:left w:val="none" w:sz="0" w:space="0" w:color="auto"/>
        <w:bottom w:val="none" w:sz="0" w:space="0" w:color="auto"/>
        <w:right w:val="none" w:sz="0" w:space="0" w:color="auto"/>
      </w:divBdr>
    </w:div>
    <w:div w:id="352733673">
      <w:bodyDiv w:val="1"/>
      <w:marLeft w:val="0"/>
      <w:marRight w:val="0"/>
      <w:marTop w:val="0"/>
      <w:marBottom w:val="0"/>
      <w:divBdr>
        <w:top w:val="none" w:sz="0" w:space="0" w:color="auto"/>
        <w:left w:val="none" w:sz="0" w:space="0" w:color="auto"/>
        <w:bottom w:val="none" w:sz="0" w:space="0" w:color="auto"/>
        <w:right w:val="none" w:sz="0" w:space="0" w:color="auto"/>
      </w:divBdr>
    </w:div>
    <w:div w:id="763112239">
      <w:bodyDiv w:val="1"/>
      <w:marLeft w:val="0"/>
      <w:marRight w:val="0"/>
      <w:marTop w:val="0"/>
      <w:marBottom w:val="0"/>
      <w:divBdr>
        <w:top w:val="none" w:sz="0" w:space="0" w:color="auto"/>
        <w:left w:val="none" w:sz="0" w:space="0" w:color="auto"/>
        <w:bottom w:val="none" w:sz="0" w:space="0" w:color="auto"/>
        <w:right w:val="none" w:sz="0" w:space="0" w:color="auto"/>
      </w:divBdr>
    </w:div>
    <w:div w:id="801927137">
      <w:bodyDiv w:val="1"/>
      <w:marLeft w:val="0"/>
      <w:marRight w:val="0"/>
      <w:marTop w:val="0"/>
      <w:marBottom w:val="0"/>
      <w:divBdr>
        <w:top w:val="none" w:sz="0" w:space="0" w:color="auto"/>
        <w:left w:val="none" w:sz="0" w:space="0" w:color="auto"/>
        <w:bottom w:val="none" w:sz="0" w:space="0" w:color="auto"/>
        <w:right w:val="none" w:sz="0" w:space="0" w:color="auto"/>
      </w:divBdr>
    </w:div>
    <w:div w:id="862785842">
      <w:bodyDiv w:val="1"/>
      <w:marLeft w:val="0"/>
      <w:marRight w:val="0"/>
      <w:marTop w:val="0"/>
      <w:marBottom w:val="0"/>
      <w:divBdr>
        <w:top w:val="none" w:sz="0" w:space="0" w:color="auto"/>
        <w:left w:val="none" w:sz="0" w:space="0" w:color="auto"/>
        <w:bottom w:val="none" w:sz="0" w:space="0" w:color="auto"/>
        <w:right w:val="none" w:sz="0" w:space="0" w:color="auto"/>
      </w:divBdr>
    </w:div>
    <w:div w:id="1248613172">
      <w:bodyDiv w:val="1"/>
      <w:marLeft w:val="0"/>
      <w:marRight w:val="0"/>
      <w:marTop w:val="0"/>
      <w:marBottom w:val="0"/>
      <w:divBdr>
        <w:top w:val="none" w:sz="0" w:space="0" w:color="auto"/>
        <w:left w:val="none" w:sz="0" w:space="0" w:color="auto"/>
        <w:bottom w:val="none" w:sz="0" w:space="0" w:color="auto"/>
        <w:right w:val="none" w:sz="0" w:space="0" w:color="auto"/>
      </w:divBdr>
    </w:div>
    <w:div w:id="1334456556">
      <w:bodyDiv w:val="1"/>
      <w:marLeft w:val="0"/>
      <w:marRight w:val="0"/>
      <w:marTop w:val="0"/>
      <w:marBottom w:val="0"/>
      <w:divBdr>
        <w:top w:val="none" w:sz="0" w:space="0" w:color="auto"/>
        <w:left w:val="none" w:sz="0" w:space="0" w:color="auto"/>
        <w:bottom w:val="none" w:sz="0" w:space="0" w:color="auto"/>
        <w:right w:val="none" w:sz="0" w:space="0" w:color="auto"/>
      </w:divBdr>
    </w:div>
    <w:div w:id="1635790639">
      <w:bodyDiv w:val="1"/>
      <w:marLeft w:val="0"/>
      <w:marRight w:val="0"/>
      <w:marTop w:val="0"/>
      <w:marBottom w:val="0"/>
      <w:divBdr>
        <w:top w:val="none" w:sz="0" w:space="0" w:color="auto"/>
        <w:left w:val="none" w:sz="0" w:space="0" w:color="auto"/>
        <w:bottom w:val="none" w:sz="0" w:space="0" w:color="auto"/>
        <w:right w:val="none" w:sz="0" w:space="0" w:color="auto"/>
      </w:divBdr>
    </w:div>
    <w:div w:id="1692146893">
      <w:bodyDiv w:val="1"/>
      <w:marLeft w:val="0"/>
      <w:marRight w:val="0"/>
      <w:marTop w:val="0"/>
      <w:marBottom w:val="0"/>
      <w:divBdr>
        <w:top w:val="none" w:sz="0" w:space="0" w:color="auto"/>
        <w:left w:val="none" w:sz="0" w:space="0" w:color="auto"/>
        <w:bottom w:val="none" w:sz="0" w:space="0" w:color="auto"/>
        <w:right w:val="none" w:sz="0" w:space="0" w:color="auto"/>
      </w:divBdr>
    </w:div>
    <w:div w:id="1836141120">
      <w:bodyDiv w:val="1"/>
      <w:marLeft w:val="0"/>
      <w:marRight w:val="0"/>
      <w:marTop w:val="0"/>
      <w:marBottom w:val="0"/>
      <w:divBdr>
        <w:top w:val="none" w:sz="0" w:space="0" w:color="auto"/>
        <w:left w:val="none" w:sz="0" w:space="0" w:color="auto"/>
        <w:bottom w:val="none" w:sz="0" w:space="0" w:color="auto"/>
        <w:right w:val="none" w:sz="0" w:space="0" w:color="auto"/>
      </w:divBdr>
    </w:div>
    <w:div w:id="1848053975">
      <w:bodyDiv w:val="1"/>
      <w:marLeft w:val="0"/>
      <w:marRight w:val="0"/>
      <w:marTop w:val="0"/>
      <w:marBottom w:val="0"/>
      <w:divBdr>
        <w:top w:val="none" w:sz="0" w:space="0" w:color="auto"/>
        <w:left w:val="none" w:sz="0" w:space="0" w:color="auto"/>
        <w:bottom w:val="none" w:sz="0" w:space="0" w:color="auto"/>
        <w:right w:val="none" w:sz="0" w:space="0" w:color="auto"/>
      </w:divBdr>
    </w:div>
    <w:div w:id="2022075885">
      <w:bodyDiv w:val="1"/>
      <w:marLeft w:val="0"/>
      <w:marRight w:val="0"/>
      <w:marTop w:val="0"/>
      <w:marBottom w:val="0"/>
      <w:divBdr>
        <w:top w:val="none" w:sz="0" w:space="0" w:color="auto"/>
        <w:left w:val="none" w:sz="0" w:space="0" w:color="auto"/>
        <w:bottom w:val="none" w:sz="0" w:space="0" w:color="auto"/>
        <w:right w:val="none" w:sz="0" w:space="0" w:color="auto"/>
      </w:divBdr>
    </w:div>
    <w:div w:id="202547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Chen</dc:creator>
  <cp:keywords/>
  <dc:description/>
  <cp:lastModifiedBy>Dexter Chen</cp:lastModifiedBy>
  <cp:revision>3</cp:revision>
  <dcterms:created xsi:type="dcterms:W3CDTF">2024-09-12T20:20:00Z</dcterms:created>
  <dcterms:modified xsi:type="dcterms:W3CDTF">2024-09-13T01:25:00Z</dcterms:modified>
</cp:coreProperties>
</file>