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8571B" w14:textId="18DD6369" w:rsidR="002607A0" w:rsidRPr="00EF352C" w:rsidRDefault="00EF352C" w:rsidP="00EF352C">
      <w:pPr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 xml:space="preserve">1  </w:t>
      </w:r>
      <w:r w:rsidR="002607A0" w:rsidRPr="00EF352C">
        <w:rPr>
          <w:rFonts w:eastAsia="黑体" w:hint="eastAsia"/>
          <w:sz w:val="32"/>
          <w:szCs w:val="32"/>
        </w:rPr>
        <w:t>作品概述</w:t>
      </w:r>
    </w:p>
    <w:p w14:paraId="7A926465" w14:textId="77777777" w:rsidR="002607A0" w:rsidRPr="00EF352C" w:rsidRDefault="002607A0" w:rsidP="002607A0">
      <w:pPr>
        <w:rPr>
          <w:rFonts w:eastAsia="黑体"/>
          <w:sz w:val="30"/>
          <w:szCs w:val="30"/>
        </w:rPr>
      </w:pPr>
      <w:r w:rsidRPr="00EF352C">
        <w:rPr>
          <w:rFonts w:eastAsia="黑体" w:hint="eastAsia"/>
          <w:sz w:val="30"/>
          <w:szCs w:val="30"/>
        </w:rPr>
        <w:t xml:space="preserve">1.1 </w:t>
      </w:r>
      <w:r w:rsidRPr="00EF352C">
        <w:rPr>
          <w:rFonts w:eastAsia="黑体" w:hint="eastAsia"/>
          <w:sz w:val="30"/>
          <w:szCs w:val="30"/>
        </w:rPr>
        <w:t>背景及意义</w:t>
      </w:r>
    </w:p>
    <w:p w14:paraId="5D2282BB" w14:textId="2975A3BE" w:rsidR="002607A0" w:rsidRPr="00EF352C" w:rsidRDefault="002607A0" w:rsidP="002607A0">
      <w:pPr>
        <w:ind w:firstLine="420"/>
        <w:rPr>
          <w:sz w:val="24"/>
          <w:szCs w:val="24"/>
        </w:rPr>
      </w:pPr>
      <w:r w:rsidRPr="00EF352C">
        <w:rPr>
          <w:rFonts w:hint="eastAsia"/>
          <w:sz w:val="24"/>
          <w:szCs w:val="24"/>
        </w:rPr>
        <w:t>在当今社会，与外界进行交流互动是人们不可或缺的日常活动。正常人可以通过语言、手势、操控键鼠、触控等方式轻易实现与他人交流或与机器交互，然而对于一些特殊群体，例如“周围神经疾病”患者，</w:t>
      </w:r>
      <w:r w:rsidR="005D20BE" w:rsidRPr="00EF352C">
        <w:rPr>
          <w:rFonts w:hint="eastAsia"/>
          <w:sz w:val="24"/>
          <w:szCs w:val="24"/>
        </w:rPr>
        <w:t>他们会出现肌肉痛性痉挛、肌力减低或丧失、肌萎缩等症状，从而导致不同程度的</w:t>
      </w:r>
      <w:r w:rsidRPr="00EF352C">
        <w:rPr>
          <w:rFonts w:hint="eastAsia"/>
          <w:sz w:val="24"/>
          <w:szCs w:val="24"/>
        </w:rPr>
        <w:t>运动障碍</w:t>
      </w:r>
      <w:r w:rsidR="005D20BE" w:rsidRPr="00EF352C">
        <w:rPr>
          <w:rFonts w:hint="eastAsia"/>
          <w:sz w:val="24"/>
          <w:szCs w:val="24"/>
        </w:rPr>
        <w:t>。这使得他们在康复的过程中，</w:t>
      </w:r>
      <w:r w:rsidRPr="00EF352C">
        <w:rPr>
          <w:rFonts w:hint="eastAsia"/>
          <w:sz w:val="24"/>
          <w:szCs w:val="24"/>
        </w:rPr>
        <w:t>可能无法与医生</w:t>
      </w:r>
      <w:r w:rsidR="005D20BE" w:rsidRPr="00EF352C">
        <w:rPr>
          <w:rFonts w:hint="eastAsia"/>
          <w:sz w:val="24"/>
          <w:szCs w:val="24"/>
        </w:rPr>
        <w:t>与</w:t>
      </w:r>
      <w:r w:rsidRPr="00EF352C">
        <w:rPr>
          <w:rFonts w:hint="eastAsia"/>
          <w:sz w:val="24"/>
          <w:szCs w:val="24"/>
        </w:rPr>
        <w:t>家人进行正常交流，在使用电脑、手机等设备时也比较困难。</w:t>
      </w:r>
    </w:p>
    <w:p w14:paraId="0FFE2C82" w14:textId="393C3E71" w:rsidR="002607A0" w:rsidRPr="00EF352C" w:rsidRDefault="002607A0" w:rsidP="002607A0">
      <w:pPr>
        <w:ind w:firstLine="420"/>
        <w:rPr>
          <w:sz w:val="24"/>
          <w:szCs w:val="24"/>
        </w:rPr>
      </w:pPr>
      <w:r w:rsidRPr="00EF352C">
        <w:rPr>
          <w:rFonts w:hint="eastAsia"/>
          <w:sz w:val="24"/>
          <w:szCs w:val="24"/>
        </w:rPr>
        <w:t>针对这种情况，已经有许多新型交互方法得到开发。其中一些方法利用光学或红外摄像机检测眼球运动，</w:t>
      </w:r>
      <w:r w:rsidR="005D20BE" w:rsidRPr="00EF352C">
        <w:rPr>
          <w:rFonts w:hint="eastAsia"/>
          <w:sz w:val="24"/>
          <w:szCs w:val="24"/>
        </w:rPr>
        <w:t>从而</w:t>
      </w:r>
      <w:r w:rsidRPr="00EF352C">
        <w:rPr>
          <w:rFonts w:hint="eastAsia"/>
          <w:sz w:val="24"/>
          <w:szCs w:val="24"/>
        </w:rPr>
        <w:t>识别用户的意图。还有一些方法利用生物电信号，如脑电图（</w:t>
      </w:r>
      <w:r w:rsidRPr="00EF352C">
        <w:rPr>
          <w:rFonts w:hint="eastAsia"/>
          <w:sz w:val="24"/>
          <w:szCs w:val="24"/>
        </w:rPr>
        <w:t>EEG</w:t>
      </w:r>
      <w:r w:rsidRPr="00EF352C">
        <w:rPr>
          <w:rFonts w:hint="eastAsia"/>
          <w:sz w:val="24"/>
          <w:szCs w:val="24"/>
        </w:rPr>
        <w:t>）、肌电图（</w:t>
      </w:r>
      <w:r w:rsidRPr="00EF352C">
        <w:rPr>
          <w:rFonts w:hint="eastAsia"/>
          <w:sz w:val="24"/>
          <w:szCs w:val="24"/>
        </w:rPr>
        <w:t>EMG</w:t>
      </w:r>
      <w:r w:rsidRPr="00EF352C">
        <w:rPr>
          <w:rFonts w:hint="eastAsia"/>
          <w:sz w:val="24"/>
          <w:szCs w:val="24"/>
        </w:rPr>
        <w:t>）和眼电图（</w:t>
      </w:r>
      <w:r w:rsidRPr="00EF352C">
        <w:rPr>
          <w:rFonts w:hint="eastAsia"/>
          <w:sz w:val="24"/>
          <w:szCs w:val="24"/>
        </w:rPr>
        <w:t>EOG</w:t>
      </w:r>
      <w:r w:rsidRPr="00EF352C">
        <w:rPr>
          <w:rFonts w:hint="eastAsia"/>
          <w:sz w:val="24"/>
          <w:szCs w:val="24"/>
        </w:rPr>
        <w:t>）识别用户意图，生成控制指令并实现对外部设备的直接控制。</w:t>
      </w:r>
    </w:p>
    <w:p w14:paraId="665DA02E" w14:textId="30D6EFA3" w:rsidR="00D331F9" w:rsidRPr="00EF352C" w:rsidRDefault="002607A0" w:rsidP="00D331F9">
      <w:pPr>
        <w:ind w:firstLine="420"/>
        <w:rPr>
          <w:sz w:val="24"/>
          <w:szCs w:val="24"/>
        </w:rPr>
      </w:pPr>
      <w:r w:rsidRPr="00EF352C">
        <w:rPr>
          <w:rFonts w:hint="eastAsia"/>
          <w:sz w:val="24"/>
          <w:szCs w:val="24"/>
        </w:rPr>
        <w:t>其中，相较于主流的光学眼球追踪技术，通过</w:t>
      </w:r>
      <w:r w:rsidR="005D20BE" w:rsidRPr="00EF352C">
        <w:rPr>
          <w:rFonts w:hint="eastAsia"/>
          <w:sz w:val="24"/>
          <w:szCs w:val="24"/>
        </w:rPr>
        <w:t>眼球电信号</w:t>
      </w:r>
      <w:r w:rsidRPr="00EF352C">
        <w:rPr>
          <w:rFonts w:hint="eastAsia"/>
          <w:sz w:val="24"/>
          <w:szCs w:val="24"/>
        </w:rPr>
        <w:t>实现眼球追踪所</w:t>
      </w:r>
      <w:r w:rsidR="005D20BE" w:rsidRPr="00EF352C">
        <w:rPr>
          <w:rFonts w:hint="eastAsia"/>
          <w:sz w:val="24"/>
          <w:szCs w:val="24"/>
        </w:rPr>
        <w:t>使用的</w:t>
      </w:r>
      <w:r w:rsidRPr="00EF352C">
        <w:rPr>
          <w:rFonts w:hint="eastAsia"/>
          <w:sz w:val="24"/>
          <w:szCs w:val="24"/>
        </w:rPr>
        <w:t>设备小巧轻便，在可穿戴应用中有较大</w:t>
      </w:r>
      <w:r w:rsidR="005D20BE" w:rsidRPr="00EF352C">
        <w:rPr>
          <w:rFonts w:hint="eastAsia"/>
          <w:sz w:val="24"/>
          <w:szCs w:val="24"/>
        </w:rPr>
        <w:t>的</w:t>
      </w:r>
      <w:r w:rsidRPr="00EF352C">
        <w:rPr>
          <w:rFonts w:hint="eastAsia"/>
          <w:sz w:val="24"/>
          <w:szCs w:val="24"/>
        </w:rPr>
        <w:t>优势。而相较于脑电</w:t>
      </w:r>
      <w:r w:rsidR="00866F44" w:rsidRPr="00EF352C">
        <w:rPr>
          <w:rFonts w:hint="eastAsia"/>
          <w:sz w:val="24"/>
          <w:szCs w:val="24"/>
        </w:rPr>
        <w:t>与</w:t>
      </w:r>
      <w:r w:rsidRPr="00EF352C">
        <w:rPr>
          <w:rFonts w:hint="eastAsia"/>
          <w:sz w:val="24"/>
          <w:szCs w:val="24"/>
        </w:rPr>
        <w:t>肌电，眼电信号</w:t>
      </w:r>
      <w:r w:rsidR="00D331F9" w:rsidRPr="00EF352C">
        <w:rPr>
          <w:rFonts w:hint="eastAsia"/>
          <w:sz w:val="24"/>
          <w:szCs w:val="24"/>
        </w:rPr>
        <w:t>强度更大，更容</w:t>
      </w:r>
      <w:r w:rsidRPr="00EF352C">
        <w:rPr>
          <w:rFonts w:hint="eastAsia"/>
          <w:sz w:val="24"/>
          <w:szCs w:val="24"/>
        </w:rPr>
        <w:t>易采集</w:t>
      </w:r>
      <w:r w:rsidR="00D331F9" w:rsidRPr="00EF352C">
        <w:rPr>
          <w:rFonts w:hint="eastAsia"/>
          <w:sz w:val="24"/>
          <w:szCs w:val="24"/>
        </w:rPr>
        <w:t>，并且</w:t>
      </w:r>
      <w:r w:rsidRPr="00EF352C">
        <w:rPr>
          <w:rFonts w:hint="eastAsia"/>
          <w:sz w:val="24"/>
          <w:szCs w:val="24"/>
        </w:rPr>
        <w:t>眼球运动</w:t>
      </w:r>
      <w:r w:rsidR="005C12F0" w:rsidRPr="00EF352C">
        <w:rPr>
          <w:rFonts w:hint="eastAsia"/>
          <w:sz w:val="24"/>
          <w:szCs w:val="24"/>
        </w:rPr>
        <w:t>比较直观</w:t>
      </w:r>
      <w:r w:rsidR="00D331F9" w:rsidRPr="00EF352C">
        <w:rPr>
          <w:rFonts w:hint="eastAsia"/>
          <w:sz w:val="24"/>
          <w:szCs w:val="24"/>
        </w:rPr>
        <w:t>、容易</w:t>
      </w:r>
      <w:r w:rsidRPr="00EF352C">
        <w:rPr>
          <w:rFonts w:hint="eastAsia"/>
          <w:sz w:val="24"/>
          <w:szCs w:val="24"/>
        </w:rPr>
        <w:t>控制，可辨识性也更高。因此，我们希望运用成熟</w:t>
      </w:r>
      <w:proofErr w:type="gramStart"/>
      <w:r w:rsidRPr="00EF352C">
        <w:rPr>
          <w:rFonts w:hint="eastAsia"/>
          <w:sz w:val="24"/>
          <w:szCs w:val="24"/>
        </w:rPr>
        <w:t>的眼电采集</w:t>
      </w:r>
      <w:proofErr w:type="gramEnd"/>
      <w:r w:rsidRPr="00EF352C">
        <w:rPr>
          <w:rFonts w:hint="eastAsia"/>
          <w:sz w:val="24"/>
          <w:szCs w:val="24"/>
        </w:rPr>
        <w:t>设备，开发一个通过眼电信号实现光标控制的</w:t>
      </w:r>
      <w:r w:rsidR="00D331F9" w:rsidRPr="00EF352C">
        <w:rPr>
          <w:rFonts w:hint="eastAsia"/>
          <w:sz w:val="24"/>
          <w:szCs w:val="24"/>
        </w:rPr>
        <w:t>人机交互</w:t>
      </w:r>
      <w:r w:rsidRPr="00EF352C">
        <w:rPr>
          <w:rFonts w:hint="eastAsia"/>
          <w:sz w:val="24"/>
          <w:szCs w:val="24"/>
        </w:rPr>
        <w:t>系统</w:t>
      </w:r>
      <w:r w:rsidR="00D331F9" w:rsidRPr="00EF352C">
        <w:rPr>
          <w:rFonts w:hint="eastAsia"/>
          <w:sz w:val="24"/>
          <w:szCs w:val="24"/>
        </w:rPr>
        <w:t>。</w:t>
      </w:r>
      <w:r w:rsidRPr="00EF352C">
        <w:rPr>
          <w:rFonts w:hint="eastAsia"/>
          <w:sz w:val="24"/>
          <w:szCs w:val="24"/>
        </w:rPr>
        <w:t>此系统可以帮助“周围神经</w:t>
      </w:r>
      <w:r w:rsidR="00D331F9" w:rsidRPr="00EF352C">
        <w:rPr>
          <w:rFonts w:hint="eastAsia"/>
          <w:sz w:val="24"/>
          <w:szCs w:val="24"/>
        </w:rPr>
        <w:t>疾病</w:t>
      </w:r>
      <w:r w:rsidRPr="00EF352C">
        <w:rPr>
          <w:rFonts w:hint="eastAsia"/>
          <w:sz w:val="24"/>
          <w:szCs w:val="24"/>
        </w:rPr>
        <w:t>”患者及情况相似的人群与外界环境进行交流互动。</w:t>
      </w:r>
    </w:p>
    <w:p w14:paraId="68FEBF28" w14:textId="77777777" w:rsidR="002607A0" w:rsidRPr="00EF352C" w:rsidRDefault="002607A0" w:rsidP="002607A0">
      <w:pPr>
        <w:rPr>
          <w:rFonts w:eastAsia="黑体"/>
          <w:sz w:val="30"/>
          <w:szCs w:val="30"/>
        </w:rPr>
      </w:pPr>
      <w:r w:rsidRPr="00EF352C">
        <w:rPr>
          <w:rFonts w:eastAsia="黑体" w:hint="eastAsia"/>
          <w:sz w:val="30"/>
          <w:szCs w:val="30"/>
        </w:rPr>
        <w:t xml:space="preserve">1.2 </w:t>
      </w:r>
      <w:r w:rsidRPr="00EF352C">
        <w:rPr>
          <w:rFonts w:eastAsia="黑体" w:hint="eastAsia"/>
          <w:sz w:val="30"/>
          <w:szCs w:val="30"/>
        </w:rPr>
        <w:t>研究基础</w:t>
      </w:r>
    </w:p>
    <w:p w14:paraId="53C0B1A7" w14:textId="0987ADB8" w:rsidR="00D331F9" w:rsidRPr="00EF352C" w:rsidRDefault="00D331F9" w:rsidP="00EF352C">
      <w:pPr>
        <w:ind w:firstLine="420"/>
        <w:rPr>
          <w:sz w:val="24"/>
          <w:szCs w:val="24"/>
        </w:rPr>
      </w:pPr>
      <w:r w:rsidRPr="00EF352C">
        <w:rPr>
          <w:rFonts w:hint="eastAsia"/>
          <w:sz w:val="24"/>
          <w:szCs w:val="24"/>
        </w:rPr>
        <w:t>此研究建立于赵超老师研发的眼电信号采集装置的基础之上</w:t>
      </w:r>
      <w:r w:rsidR="00F006B0" w:rsidRPr="00EF352C">
        <w:rPr>
          <w:rFonts w:hint="eastAsia"/>
          <w:sz w:val="24"/>
          <w:szCs w:val="24"/>
        </w:rPr>
        <w:t>。</w:t>
      </w:r>
      <w:r w:rsidR="003E7553" w:rsidRPr="00EF352C">
        <w:rPr>
          <w:rFonts w:hint="eastAsia"/>
          <w:sz w:val="24"/>
          <w:szCs w:val="24"/>
        </w:rPr>
        <w:t>我们使用两对差分电极对眼球电信号进行采样。</w:t>
      </w:r>
      <w:r w:rsidR="00D4358C" w:rsidRPr="00EF352C">
        <w:rPr>
          <w:rFonts w:hint="eastAsia"/>
          <w:sz w:val="24"/>
          <w:szCs w:val="24"/>
        </w:rPr>
        <w:t>我们使用</w:t>
      </w:r>
      <w:r w:rsidR="003E7553" w:rsidRPr="00EF352C">
        <w:rPr>
          <w:rFonts w:hint="eastAsia"/>
          <w:sz w:val="24"/>
          <w:szCs w:val="24"/>
        </w:rPr>
        <w:t>滤波电路与模数转换器</w:t>
      </w:r>
      <w:r w:rsidR="00D4358C" w:rsidRPr="00EF352C">
        <w:rPr>
          <w:rFonts w:hint="eastAsia"/>
          <w:sz w:val="24"/>
          <w:szCs w:val="24"/>
        </w:rPr>
        <w:t>将眼球电信号处理为数字信号</w:t>
      </w:r>
      <w:r w:rsidR="003E7553" w:rsidRPr="00EF352C">
        <w:rPr>
          <w:rFonts w:hint="eastAsia"/>
          <w:sz w:val="24"/>
          <w:szCs w:val="24"/>
        </w:rPr>
        <w:t>后，</w:t>
      </w:r>
      <w:r w:rsidR="00DC76A7" w:rsidRPr="00EF352C">
        <w:rPr>
          <w:rFonts w:hint="eastAsia"/>
          <w:sz w:val="24"/>
          <w:szCs w:val="24"/>
        </w:rPr>
        <w:t>通过有线</w:t>
      </w:r>
      <w:r w:rsidR="00D4358C" w:rsidRPr="00EF352C">
        <w:rPr>
          <w:rFonts w:hint="eastAsia"/>
          <w:sz w:val="24"/>
          <w:szCs w:val="24"/>
        </w:rPr>
        <w:t>JLINK</w:t>
      </w:r>
      <w:r w:rsidR="00D4358C" w:rsidRPr="00EF352C">
        <w:rPr>
          <w:rFonts w:hint="eastAsia"/>
          <w:sz w:val="24"/>
          <w:szCs w:val="24"/>
        </w:rPr>
        <w:t>调试器</w:t>
      </w:r>
      <w:r w:rsidR="005A4E3E" w:rsidRPr="00EF352C">
        <w:rPr>
          <w:rFonts w:hint="eastAsia"/>
          <w:sz w:val="24"/>
          <w:szCs w:val="24"/>
        </w:rPr>
        <w:t>发送</w:t>
      </w:r>
      <w:r w:rsidR="00DC76A7" w:rsidRPr="00EF352C">
        <w:rPr>
          <w:rFonts w:hint="eastAsia"/>
          <w:sz w:val="24"/>
          <w:szCs w:val="24"/>
        </w:rPr>
        <w:t>至电脑端</w:t>
      </w:r>
      <w:r w:rsidR="00D4358C" w:rsidRPr="00EF352C">
        <w:rPr>
          <w:rFonts w:hint="eastAsia"/>
          <w:sz w:val="24"/>
          <w:szCs w:val="24"/>
        </w:rPr>
        <w:t>上位机进行处理与研究。</w:t>
      </w:r>
    </w:p>
    <w:p w14:paraId="60D78BB5" w14:textId="659C9086" w:rsidR="006A24F7" w:rsidRDefault="00DC76A7" w:rsidP="006A24F7">
      <w:pPr>
        <w:jc w:val="center"/>
      </w:pPr>
      <w:r w:rsidRPr="00DC76A7">
        <w:rPr>
          <w:noProof/>
        </w:rPr>
        <w:drawing>
          <wp:inline distT="0" distB="0" distL="0" distR="0" wp14:anchorId="44CB3341" wp14:editId="3F1E58B7">
            <wp:extent cx="4312127" cy="2933904"/>
            <wp:effectExtent l="0" t="0" r="0" b="0"/>
            <wp:docPr id="159456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2" t="6799" r="5567" b="18982"/>
                    <a:stretch/>
                  </pic:blipFill>
                  <pic:spPr bwMode="auto">
                    <a:xfrm>
                      <a:off x="0" y="0"/>
                      <a:ext cx="4315442" cy="29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2EFDE" w14:textId="271A9B1B" w:rsidR="00D4358C" w:rsidRPr="00EF352C" w:rsidRDefault="00D4358C" w:rsidP="006A24F7">
      <w:pPr>
        <w:jc w:val="center"/>
      </w:pPr>
      <w:r w:rsidRPr="00EF352C">
        <w:rPr>
          <w:rFonts w:hint="eastAsia"/>
        </w:rPr>
        <w:t>图</w:t>
      </w:r>
      <w:r w:rsidRPr="00EF352C">
        <w:rPr>
          <w:rFonts w:hint="eastAsia"/>
        </w:rPr>
        <w:t xml:space="preserve">1.1 </w:t>
      </w:r>
      <w:r w:rsidRPr="00EF352C">
        <w:rPr>
          <w:rFonts w:hint="eastAsia"/>
        </w:rPr>
        <w:t>眼电信号采集装置</w:t>
      </w:r>
    </w:p>
    <w:p w14:paraId="670C1178" w14:textId="77777777" w:rsidR="00D4358C" w:rsidRDefault="00D4358C" w:rsidP="006A24F7">
      <w:pPr>
        <w:jc w:val="center"/>
      </w:pPr>
    </w:p>
    <w:p w14:paraId="438C11F8" w14:textId="688D5452" w:rsidR="00D42711" w:rsidRDefault="002607A0" w:rsidP="002607A0">
      <w:r>
        <w:rPr>
          <w:rFonts w:hint="eastAsia"/>
        </w:rPr>
        <w:t xml:space="preserve">1.3 </w:t>
      </w:r>
      <w:r>
        <w:rPr>
          <w:rFonts w:hint="eastAsia"/>
        </w:rPr>
        <w:t>需求分析</w:t>
      </w:r>
    </w:p>
    <w:p w14:paraId="407ECA00" w14:textId="77777777" w:rsidR="00977F8D" w:rsidRDefault="00D42711" w:rsidP="00A454CE">
      <w:r>
        <w:lastRenderedPageBreak/>
        <w:tab/>
      </w:r>
      <w:r>
        <w:rPr>
          <w:rFonts w:hint="eastAsia"/>
        </w:rPr>
        <w:t>由于我们希望用户能够完全通过眼球控制电脑的光标，所以交互系统的操作逻辑需要操控精准</w:t>
      </w:r>
      <w:r w:rsidR="00977F8D">
        <w:rPr>
          <w:rFonts w:hint="eastAsia"/>
        </w:rPr>
        <w:t>、不易误触</w:t>
      </w:r>
      <w:r>
        <w:rPr>
          <w:rFonts w:hint="eastAsia"/>
        </w:rPr>
        <w:t>；同时，由于我们的主要用户是罹患周围神经疾病的患者，所以操作需要</w:t>
      </w:r>
      <w:r w:rsidR="00977F8D">
        <w:rPr>
          <w:rFonts w:hint="eastAsia"/>
        </w:rPr>
        <w:t>符合直觉、</w:t>
      </w:r>
      <w:r>
        <w:rPr>
          <w:rFonts w:hint="eastAsia"/>
        </w:rPr>
        <w:t>容易上手。</w:t>
      </w:r>
    </w:p>
    <w:p w14:paraId="69FC6368" w14:textId="77777777" w:rsidR="00A454CE" w:rsidRDefault="00D42711" w:rsidP="00A454CE">
      <w:pPr>
        <w:ind w:firstLine="420"/>
      </w:pPr>
      <w:r>
        <w:rPr>
          <w:rFonts w:hint="eastAsia"/>
        </w:rPr>
        <w:t>为此，我们设计了如下的操作方式：</w:t>
      </w:r>
      <w:r w:rsidR="00977F8D">
        <w:rPr>
          <w:rFonts w:hint="eastAsia"/>
        </w:rPr>
        <w:t>如果系统识别到用户连续眨眼三次，则执行光标点击操作。如果系统识别到用户眼球向</w:t>
      </w:r>
      <w:r w:rsidR="00977F8D">
        <w:rPr>
          <w:rFonts w:hint="eastAsia"/>
        </w:rPr>
        <w:t>A</w:t>
      </w:r>
      <w:r w:rsidR="00977F8D">
        <w:rPr>
          <w:rFonts w:hint="eastAsia"/>
        </w:rPr>
        <w:t>方向运动，同时光标处于静止状态，则控制光标向</w:t>
      </w:r>
      <w:r w:rsidR="00977F8D">
        <w:rPr>
          <w:rFonts w:hint="eastAsia"/>
        </w:rPr>
        <w:t>A</w:t>
      </w:r>
      <w:r w:rsidR="00977F8D">
        <w:rPr>
          <w:rFonts w:hint="eastAsia"/>
        </w:rPr>
        <w:t>方向移动；如果此时光标正在移动，且移动方向与</w:t>
      </w:r>
      <w:r w:rsidR="00977F8D">
        <w:rPr>
          <w:rFonts w:hint="eastAsia"/>
        </w:rPr>
        <w:t>A</w:t>
      </w:r>
      <w:r w:rsidR="00977F8D">
        <w:rPr>
          <w:rFonts w:hint="eastAsia"/>
        </w:rPr>
        <w:t>方向相反，则光标停止移动，否则光标继续移动。上述的交互方式可以很好地完成光标的基础操作，并且可以通过眼球移动</w:t>
      </w:r>
      <w:r w:rsidR="00977F8D">
        <w:rPr>
          <w:rFonts w:hint="eastAsia"/>
        </w:rPr>
        <w:t>-</w:t>
      </w:r>
      <w:r w:rsidR="00977F8D">
        <w:rPr>
          <w:rFonts w:hint="eastAsia"/>
        </w:rPr>
        <w:t>眼球回中的眼球动作组合控制光标向某个方向移动一段距离，非常符合直觉。</w:t>
      </w:r>
    </w:p>
    <w:p w14:paraId="19920CA3" w14:textId="77777777" w:rsidR="00A454CE" w:rsidRDefault="00D42711" w:rsidP="00A454CE">
      <w:pPr>
        <w:jc w:val="center"/>
      </w:pPr>
      <w:r w:rsidRPr="00D42711">
        <w:rPr>
          <w:noProof/>
        </w:rPr>
        <w:drawing>
          <wp:inline distT="0" distB="0" distL="0" distR="0" wp14:anchorId="5F64381A" wp14:editId="7340E588">
            <wp:extent cx="5274310" cy="3000375"/>
            <wp:effectExtent l="0" t="0" r="0" b="0"/>
            <wp:docPr id="3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B0C2" w14:textId="127E7D1A" w:rsidR="00977F8D" w:rsidRDefault="00977F8D" w:rsidP="00A454CE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1.2 </w:t>
      </w:r>
      <w:r w:rsidR="00BC2A59">
        <w:rPr>
          <w:rFonts w:hint="eastAsia"/>
        </w:rPr>
        <w:t>眼球控制光标流程图</w:t>
      </w:r>
    </w:p>
    <w:p w14:paraId="2AB211BB" w14:textId="77777777" w:rsidR="00EF352C" w:rsidRDefault="00EF352C" w:rsidP="002607A0"/>
    <w:p w14:paraId="4C106AF0" w14:textId="3143C1C5" w:rsidR="00F006B0" w:rsidRDefault="00F006B0" w:rsidP="002607A0"/>
    <w:p w14:paraId="44F88FEB" w14:textId="77777777" w:rsidR="002607A0" w:rsidRDefault="002607A0" w:rsidP="002607A0">
      <w:r>
        <w:rPr>
          <w:rFonts w:hint="eastAsia"/>
        </w:rPr>
        <w:t xml:space="preserve">1.4 </w:t>
      </w:r>
      <w:r>
        <w:rPr>
          <w:rFonts w:hint="eastAsia"/>
        </w:rPr>
        <w:t>已实现的功能</w:t>
      </w:r>
    </w:p>
    <w:p w14:paraId="0EB61333" w14:textId="513CCF7B" w:rsidR="002607A0" w:rsidRDefault="00A454CE" w:rsidP="003F2D5F">
      <w:pPr>
        <w:ind w:firstLine="420"/>
      </w:pPr>
      <w:r>
        <w:rPr>
          <w:rFonts w:hint="eastAsia"/>
        </w:rPr>
        <w:t>目前，我们</w:t>
      </w:r>
      <w:r w:rsidR="003F2D5F">
        <w:rPr>
          <w:rFonts w:hint="eastAsia"/>
        </w:rPr>
        <w:t>已经完成算法的静态验证，并能够实现实时的通过眨眼控制鼠标完成点击操作。</w:t>
      </w:r>
    </w:p>
    <w:p w14:paraId="75789CE4" w14:textId="77777777" w:rsidR="00A454CE" w:rsidRDefault="00A454CE" w:rsidP="002607A0"/>
    <w:p w14:paraId="25770AD5" w14:textId="77777777" w:rsidR="00A454CE" w:rsidRDefault="00A454CE" w:rsidP="002607A0"/>
    <w:p w14:paraId="7A0B436C" w14:textId="77777777" w:rsidR="002607A0" w:rsidRDefault="002607A0" w:rsidP="002607A0"/>
    <w:p w14:paraId="1D267368" w14:textId="77777777" w:rsidR="002607A0" w:rsidRDefault="002607A0" w:rsidP="002607A0">
      <w:r>
        <w:rPr>
          <w:rFonts w:hint="eastAsia"/>
        </w:rPr>
        <w:t xml:space="preserve">4 </w:t>
      </w:r>
      <w:r>
        <w:rPr>
          <w:rFonts w:hint="eastAsia"/>
        </w:rPr>
        <w:t>总结</w:t>
      </w:r>
    </w:p>
    <w:p w14:paraId="67262948" w14:textId="77777777" w:rsidR="002607A0" w:rsidRDefault="002607A0" w:rsidP="002607A0">
      <w:r>
        <w:rPr>
          <w:rFonts w:hint="eastAsia"/>
        </w:rPr>
        <w:t xml:space="preserve">4.1 </w:t>
      </w:r>
      <w:r>
        <w:rPr>
          <w:rFonts w:hint="eastAsia"/>
        </w:rPr>
        <w:t>作品展示</w:t>
      </w:r>
    </w:p>
    <w:p w14:paraId="3E0A9A74" w14:textId="77777777" w:rsidR="002607A0" w:rsidRDefault="002607A0" w:rsidP="002607A0">
      <w:r>
        <w:rPr>
          <w:rFonts w:hint="eastAsia"/>
        </w:rPr>
        <w:t xml:space="preserve">4.2 </w:t>
      </w:r>
      <w:r>
        <w:rPr>
          <w:rFonts w:hint="eastAsia"/>
        </w:rPr>
        <w:t>展望</w:t>
      </w:r>
    </w:p>
    <w:p w14:paraId="211C1CFF" w14:textId="2B56C33C" w:rsidR="00B71908" w:rsidRDefault="00B71908"/>
    <w:p w14:paraId="29048103" w14:textId="77777777" w:rsidR="00866F44" w:rsidRDefault="00866F44"/>
    <w:p w14:paraId="2BC36749" w14:textId="77777777" w:rsidR="00866F44" w:rsidRDefault="00866F44"/>
    <w:p w14:paraId="580FA1E4" w14:textId="6987B1D7" w:rsidR="00866F44" w:rsidRDefault="00866F44"/>
    <w:sectPr w:rsidR="00866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4A514" w14:textId="77777777" w:rsidR="005352CD" w:rsidRDefault="005352CD" w:rsidP="002607A0">
      <w:r>
        <w:separator/>
      </w:r>
    </w:p>
  </w:endnote>
  <w:endnote w:type="continuationSeparator" w:id="0">
    <w:p w14:paraId="1F2678B0" w14:textId="77777777" w:rsidR="005352CD" w:rsidRDefault="005352CD" w:rsidP="00260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7EBD7" w14:textId="77777777" w:rsidR="005352CD" w:rsidRDefault="005352CD" w:rsidP="002607A0">
      <w:r>
        <w:separator/>
      </w:r>
    </w:p>
  </w:footnote>
  <w:footnote w:type="continuationSeparator" w:id="0">
    <w:p w14:paraId="5C34D844" w14:textId="77777777" w:rsidR="005352CD" w:rsidRDefault="005352CD" w:rsidP="00260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339"/>
    <w:rsid w:val="0013067A"/>
    <w:rsid w:val="002607A0"/>
    <w:rsid w:val="00284C7A"/>
    <w:rsid w:val="003B5389"/>
    <w:rsid w:val="003E7553"/>
    <w:rsid w:val="003F2D5F"/>
    <w:rsid w:val="004204E3"/>
    <w:rsid w:val="005352CD"/>
    <w:rsid w:val="005A4E3E"/>
    <w:rsid w:val="005C12F0"/>
    <w:rsid w:val="005D20BE"/>
    <w:rsid w:val="006A24F7"/>
    <w:rsid w:val="007B0A23"/>
    <w:rsid w:val="00866F44"/>
    <w:rsid w:val="008D6933"/>
    <w:rsid w:val="00903339"/>
    <w:rsid w:val="00957A85"/>
    <w:rsid w:val="00977F8D"/>
    <w:rsid w:val="009A4299"/>
    <w:rsid w:val="00A454CE"/>
    <w:rsid w:val="00A826B6"/>
    <w:rsid w:val="00AD3756"/>
    <w:rsid w:val="00B71908"/>
    <w:rsid w:val="00BC2A59"/>
    <w:rsid w:val="00D17666"/>
    <w:rsid w:val="00D331F9"/>
    <w:rsid w:val="00D42711"/>
    <w:rsid w:val="00D4358C"/>
    <w:rsid w:val="00DC76A7"/>
    <w:rsid w:val="00EF352C"/>
    <w:rsid w:val="00F006B0"/>
    <w:rsid w:val="00F7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68005"/>
  <w15:chartTrackingRefBased/>
  <w15:docId w15:val="{A9C6643F-D40A-447B-B273-756D3076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科研三线表"/>
    <w:basedOn w:val="a1"/>
    <w:uiPriority w:val="99"/>
    <w:rsid w:val="00957A85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ubSubSection">
    <w:name w:val="SubSubSection"/>
    <w:basedOn w:val="a"/>
    <w:link w:val="SubSubSection0"/>
    <w:qFormat/>
    <w:rsid w:val="008D6933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customStyle="1" w:styleId="SubSubSection0">
    <w:name w:val="SubSubSection 字符"/>
    <w:basedOn w:val="a0"/>
    <w:link w:val="SubSubSection"/>
    <w:rsid w:val="008D6933"/>
    <w:rPr>
      <w:b/>
      <w:bCs/>
      <w:kern w:val="44"/>
      <w:sz w:val="28"/>
      <w:szCs w:val="44"/>
    </w:rPr>
  </w:style>
  <w:style w:type="paragraph" w:customStyle="1" w:styleId="Section">
    <w:name w:val="Section"/>
    <w:basedOn w:val="SubSubSection"/>
    <w:link w:val="Section0"/>
    <w:qFormat/>
    <w:rsid w:val="008D6933"/>
    <w:rPr>
      <w:sz w:val="32"/>
    </w:rPr>
  </w:style>
  <w:style w:type="character" w:customStyle="1" w:styleId="Section0">
    <w:name w:val="Section 字符"/>
    <w:basedOn w:val="SubSubSection0"/>
    <w:link w:val="Section"/>
    <w:rsid w:val="008D6933"/>
    <w:rPr>
      <w:b/>
      <w:bCs/>
      <w:kern w:val="44"/>
      <w:sz w:val="32"/>
      <w:szCs w:val="44"/>
    </w:rPr>
  </w:style>
  <w:style w:type="paragraph" w:customStyle="1" w:styleId="SubSrction">
    <w:name w:val="SubSrction"/>
    <w:basedOn w:val="Section"/>
    <w:link w:val="SubSrction0"/>
    <w:qFormat/>
    <w:rsid w:val="008D6933"/>
    <w:rPr>
      <w:sz w:val="30"/>
    </w:rPr>
  </w:style>
  <w:style w:type="character" w:customStyle="1" w:styleId="SubSrction0">
    <w:name w:val="SubSrction 字符"/>
    <w:basedOn w:val="Section0"/>
    <w:link w:val="SubSrction"/>
    <w:rsid w:val="008D6933"/>
    <w:rPr>
      <w:b/>
      <w:bCs/>
      <w:kern w:val="44"/>
      <w:sz w:val="30"/>
      <w:szCs w:val="44"/>
    </w:rPr>
  </w:style>
  <w:style w:type="paragraph" w:customStyle="1" w:styleId="SubSubSubSection">
    <w:name w:val="SubSubSubSection"/>
    <w:basedOn w:val="SubSubSection"/>
    <w:link w:val="SubSubSubSection0"/>
    <w:qFormat/>
    <w:rsid w:val="0013067A"/>
    <w:rPr>
      <w:sz w:val="24"/>
    </w:rPr>
  </w:style>
  <w:style w:type="character" w:customStyle="1" w:styleId="SubSubSubSection0">
    <w:name w:val="SubSubSubSection 字符"/>
    <w:basedOn w:val="a0"/>
    <w:link w:val="SubSubSubSection"/>
    <w:rsid w:val="0013067A"/>
    <w:rPr>
      <w:b/>
      <w:bCs/>
      <w:kern w:val="44"/>
      <w:sz w:val="24"/>
      <w:szCs w:val="44"/>
    </w:rPr>
  </w:style>
  <w:style w:type="paragraph" w:styleId="a4">
    <w:name w:val="header"/>
    <w:basedOn w:val="a"/>
    <w:link w:val="a5"/>
    <w:uiPriority w:val="99"/>
    <w:unhideWhenUsed/>
    <w:rsid w:val="002607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7A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7A0"/>
    <w:rPr>
      <w:sz w:val="18"/>
      <w:szCs w:val="18"/>
    </w:rPr>
  </w:style>
  <w:style w:type="paragraph" w:styleId="a8">
    <w:name w:val="Bibliography"/>
    <w:basedOn w:val="a"/>
    <w:next w:val="a"/>
    <w:uiPriority w:val="37"/>
    <w:unhideWhenUsed/>
    <w:rsid w:val="00866F44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邓羽丰</dc:creator>
  <cp:keywords/>
  <dc:description/>
  <cp:lastModifiedBy>邓羽丰</cp:lastModifiedBy>
  <cp:revision>4</cp:revision>
  <dcterms:created xsi:type="dcterms:W3CDTF">2024-06-05T13:31:00Z</dcterms:created>
  <dcterms:modified xsi:type="dcterms:W3CDTF">2024-06-09T13:50:00Z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id="ovM80Tux"/&gt;&lt;style id="http://www.zotero.org/styles/china-national-standard-gb-t-7714-2015-numeric" hasBibliography="1" bibliographyStyleHasBeenSet="1"/&gt;&lt;prefs&gt;&lt;pref name="fieldType" value="Field"</vt:lpwstr>
  </property>
  <property fmtid="{D5CDD505-2E9C-101B-9397-08002B2CF9AE}" pid="3" name="ZOTERO_PREF_2">
    <vt:lpwstr>/&gt;&lt;/prefs&gt;&lt;/data&gt;</vt:lpwstr>
  </property>
</Properties>
</file>