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000"/>
        <w:jc w:val="distribute"/>
        <w:rPr>
          <w:rFonts w:ascii="方正小标宋简体;Microsoft YaHei UI" w:hAnsi="方正小标宋简体;Microsoft YaHei UI" w:eastAsia="方正小标宋简体;Microsoft YaHei UI"/>
          <w:b/>
          <w:color w:val="FF0000"/>
          <w:spacing w:val="20"/>
          <w:sz w:val="105"/>
        </w:rPr>
      </w:pPr>
      <w:r>
        <w:rPr>
          <w:rFonts w:ascii="方正小标宋简体;Microsoft YaHei UI" w:hAnsi="方正小标宋简体;Microsoft YaHei UI" w:eastAsia="方正小标宋简体;Microsoft YaHei UI"/>
          <w:b/>
          <w:color w:val="FF0000"/>
          <w:spacing w:val="20"/>
          <w:sz w:val="105"/>
        </w:rPr>
        <w:t>华中农业大学文件</w:t>
      </w:r>
    </w:p>
    <w:p>
      <w:pPr>
        <w:pStyle w:val="Normal"/>
        <w:spacing w:lineRule="exact" w:line="600"/>
        <w:jc w:val="center"/>
        <w:rPr>
          <w:rFonts w:ascii="方正小标宋简体;Microsoft YaHei UI" w:hAnsi="方正小标宋简体;Microsoft YaHei UI" w:eastAsia="方正小标宋简体;Microsoft YaHei UI"/>
          <w:b/>
          <w:color w:val="FF0000"/>
          <w:spacing w:val="60"/>
          <w:sz w:val="115"/>
        </w:rPr>
      </w:pPr>
      <w:r>
        <w:rPr>
          <w:rFonts w:eastAsia="方正小标宋简体;Microsoft YaHei UI" w:ascii="方正小标宋简体;Microsoft YaHei UI" w:hAnsi="方正小标宋简体;Microsoft YaHei UI"/>
          <w:b/>
          <w:color w:val="FF0000"/>
          <w:spacing w:val="60"/>
          <w:sz w:val="115"/>
        </w:rPr>
      </w:r>
    </w:p>
    <w:p>
      <w:pPr>
        <w:pStyle w:val="Normal"/>
        <w:spacing w:lineRule="exact" w:line="600"/>
        <w:jc w:val="center"/>
        <w:rPr/>
      </w:pPr>
      <w:bookmarkStart w:id="0" w:name="doc_mark"/>
      <w:r>
        <w:rPr>
          <w:rFonts w:ascii="仿宋_GB2312;仿宋" w:hAnsi="仿宋_GB2312;仿宋" w:cs="宋体;SimSun" w:eastAsia="仿宋_GB2312;仿宋"/>
          <w:b/>
          <w:sz w:val="32"/>
          <w:szCs w:val="32"/>
        </w:rPr>
        <w:t>校发〔</w:t>
      </w:r>
      <w:r>
        <w:rPr>
          <w:rFonts w:eastAsia="仿宋_GB2312;仿宋" w:cs="宋体;SimSun" w:ascii="仿宋_GB2312;仿宋" w:hAnsi="仿宋_GB2312;仿宋"/>
          <w:b/>
          <w:sz w:val="32"/>
          <w:szCs w:val="32"/>
        </w:rPr>
        <w:t>2023</w:t>
      </w:r>
      <w:r>
        <w:rPr>
          <w:rFonts w:ascii="仿宋_GB2312;仿宋" w:hAnsi="仿宋_GB2312;仿宋" w:cs="宋体;SimSun" w:eastAsia="仿宋_GB2312;仿宋"/>
          <w:b/>
          <w:sz w:val="32"/>
          <w:szCs w:val="32"/>
        </w:rPr>
        <w:t>〕</w:t>
      </w:r>
      <w:r>
        <w:rPr>
          <w:rFonts w:eastAsia="仿宋_GB2312;仿宋" w:cs="宋体;SimSun" w:ascii="仿宋_GB2312;仿宋" w:hAnsi="仿宋_GB2312;仿宋"/>
          <w:b/>
          <w:sz w:val="32"/>
          <w:szCs w:val="32"/>
        </w:rPr>
        <w:t>182</w:t>
      </w:r>
      <w:r>
        <w:rPr>
          <w:rFonts w:ascii="仿宋_GB2312;仿宋" w:hAnsi="仿宋_GB2312;仿宋" w:cs="宋体;SimSun" w:eastAsia="仿宋_GB2312;仿宋"/>
          <w:b/>
          <w:sz w:val="32"/>
          <w:szCs w:val="32"/>
        </w:rPr>
        <w:t>号</w:t>
      </w:r>
      <w:bookmarkEnd w:id="0"/>
    </w:p>
    <w:p>
      <w:pPr>
        <w:pStyle w:val="Normal"/>
        <w:spacing w:lineRule="exact" w:line="600"/>
        <w:jc w:val="center"/>
        <w:rPr>
          <w:rFonts w:ascii="仿宋_GB2312;仿宋" w:hAnsi="仿宋_GB2312;仿宋" w:eastAsia="仿宋_GB2312;仿宋" w:cs="宋体;SimSun"/>
          <w:b/>
          <w:color w:val="FF0000"/>
          <w:spacing w:val="60"/>
          <w:sz w:val="32"/>
          <w:szCs w:val="32"/>
          <w:lang w:val="zh-CN" w:eastAsia="zh-CN"/>
        </w:rPr>
      </w:pPr>
      <w:r>
        <w:rPr>
          <w:rFonts w:eastAsia="仿宋_GB2312;仿宋" w:cs="宋体;SimSun" w:ascii="仿宋_GB2312;仿宋" w:hAnsi="仿宋_GB2312;仿宋"/>
          <w:b/>
          <w:color w:val="FF0000"/>
          <w:spacing w:val="60"/>
          <w:sz w:val="32"/>
          <w:szCs w:val="32"/>
          <w:lang w:val="zh-CN" w:eastAsia="zh-CN"/>
        </w:rPr>
        <mc:AlternateContent>
          <mc:Choice Requires="wps">
            <w:drawing>
              <wp:anchor behindDoc="0" distT="0" distB="0" distL="114935" distR="114935" simplePos="0" locked="0" layoutInCell="1" allowOverlap="1" relativeHeight="4">
                <wp:simplePos x="0" y="0"/>
                <wp:positionH relativeFrom="column">
                  <wp:posOffset>-52705</wp:posOffset>
                </wp:positionH>
                <wp:positionV relativeFrom="paragraph">
                  <wp:posOffset>131445</wp:posOffset>
                </wp:positionV>
                <wp:extent cx="5944235" cy="1270"/>
                <wp:effectExtent l="635" t="6350" r="635" b="6350"/>
                <wp:wrapNone/>
                <wp:docPr id="1" name=""/>
                <a:graphic xmlns:a="http://schemas.openxmlformats.org/drawingml/2006/main">
                  <a:graphicData uri="http://schemas.microsoft.com/office/word/2010/wordprocessingShape">
                    <wps:wsp>
                      <wps:cNvCnPr/>
                      <wps:spPr>
                        <a:xfrm>
                          <a:off x="0" y="0"/>
                          <a:ext cx="5944320" cy="1800"/>
                        </a:xfrm>
                        <a:prstGeom prst="straightConnector1">
                          <a:avLst/>
                        </a:prstGeom>
                        <a:ln w="12600">
                          <a:solidFill>
                            <a:srgbClr val="ff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4.15pt;margin-top:10.35pt;width:468pt;height:0.1pt" type="_x0000_t32">
                <v:stroke color="red" weight="12600" joinstyle="miter" endcap="flat"/>
                <v:fill o:detectmouseclick="t" on="false"/>
                <w10:wrap type="none"/>
              </v:shape>
            </w:pict>
          </mc:Fallback>
        </mc:AlternateContent>
      </w:r>
    </w:p>
    <w:p>
      <w:pPr>
        <w:pStyle w:val="Normal"/>
        <w:spacing w:lineRule="exact" w:line="600" w:before="0" w:after="0"/>
        <w:jc w:val="center"/>
        <w:rPr>
          <w:rFonts w:ascii="方正小标宋简体;Microsoft YaHei UI" w:hAnsi="方正小标宋简体;Microsoft YaHei UI" w:eastAsia="方正小标宋简体;Microsoft YaHei UI" w:cs="宋体;SimSun"/>
          <w:b/>
          <w:bCs/>
          <w:spacing w:val="-10"/>
          <w:sz w:val="44"/>
          <w:szCs w:val="44"/>
        </w:rPr>
      </w:pPr>
      <w:r>
        <w:rPr>
          <w:rFonts w:eastAsia="方正小标宋简体;Microsoft YaHei UI" w:cs="宋体;SimSun" w:ascii="方正小标宋简体;Microsoft YaHei UI" w:hAnsi="方正小标宋简体;Microsoft YaHei UI"/>
          <w:b/>
          <w:bCs/>
          <w:spacing w:val="-10"/>
          <w:sz w:val="44"/>
          <w:szCs w:val="44"/>
        </w:rPr>
      </w:r>
    </w:p>
    <w:p>
      <w:pPr>
        <w:pStyle w:val="Normal"/>
        <w:spacing w:lineRule="exact" w:line="600" w:before="0" w:after="0"/>
        <w:jc w:val="center"/>
        <w:rPr/>
      </w:pPr>
      <w:r>
        <w:rPr>
          <w:rFonts w:ascii="方正小标宋简体;Microsoft YaHei UI" w:hAnsi="方正小标宋简体;Microsoft YaHei UI" w:cs="宋体;SimSun" w:eastAsia="方正小标宋简体;Microsoft YaHei UI"/>
          <w:b/>
          <w:bCs/>
          <w:spacing w:val="-10"/>
          <w:sz w:val="44"/>
          <w:szCs w:val="44"/>
        </w:rPr>
        <w:t>关于印发《华中农业大学关于鼓励毕业生到中西部</w:t>
      </w:r>
      <w:r>
        <w:rPr>
          <w:rFonts w:ascii="方正小标宋简体;Microsoft YaHei UI" w:hAnsi="方正小标宋简体;Microsoft YaHei UI" w:cs="宋体;SimSun" w:eastAsia="方正小标宋简体;Microsoft YaHei UI"/>
          <w:b/>
          <w:bCs/>
          <w:sz w:val="44"/>
          <w:szCs w:val="44"/>
        </w:rPr>
        <w:t>和基层就业的实施办法（修订）》的通知</w:t>
      </w:r>
    </w:p>
    <w:p>
      <w:pPr>
        <w:pStyle w:val="Normal"/>
        <w:spacing w:lineRule="exact" w:line="600" w:before="0" w:after="0"/>
        <w:rPr>
          <w:rFonts w:ascii="仿宋_GB2312;仿宋" w:hAnsi="仿宋_GB2312;仿宋" w:eastAsia="仿宋_GB2312;仿宋" w:cs="宋体;SimSun"/>
          <w:b/>
          <w:bCs/>
          <w:color w:val="000000"/>
          <w:sz w:val="32"/>
          <w:szCs w:val="32"/>
        </w:rPr>
      </w:pPr>
      <w:r>
        <w:rPr>
          <w:rFonts w:eastAsia="仿宋_GB2312;仿宋" w:cs="宋体;SimSun" w:ascii="仿宋_GB2312;仿宋" w:hAnsi="仿宋_GB2312;仿宋"/>
          <w:b/>
          <w:bCs/>
          <w:color w:val="000000"/>
          <w:sz w:val="32"/>
          <w:szCs w:val="32"/>
        </w:rPr>
      </w:r>
    </w:p>
    <w:p>
      <w:pPr>
        <w:pStyle w:val="Normal"/>
        <w:spacing w:lineRule="exact" w:line="600" w:before="0" w:after="0"/>
        <w:rPr>
          <w:rFonts w:ascii="仿宋_GB2312;仿宋" w:hAnsi="仿宋_GB2312;仿宋" w:eastAsia="仿宋_GB2312;仿宋" w:cs="宋体;SimSun"/>
          <w:b/>
          <w:color w:val="000000"/>
          <w:sz w:val="32"/>
          <w:szCs w:val="32"/>
        </w:rPr>
      </w:pPr>
      <w:r>
        <w:rPr>
          <w:rFonts w:ascii="仿宋_GB2312;仿宋" w:hAnsi="仿宋_GB2312;仿宋" w:cs="宋体;SimSun" w:eastAsia="仿宋_GB2312;仿宋"/>
          <w:b/>
          <w:color w:val="000000"/>
          <w:sz w:val="32"/>
          <w:szCs w:val="32"/>
        </w:rPr>
        <w:t>校属有关单位：</w:t>
      </w:r>
    </w:p>
    <w:p>
      <w:pPr>
        <w:pStyle w:val="Normal"/>
        <w:spacing w:lineRule="exact" w:line="600" w:before="0" w:after="0"/>
        <w:ind w:firstLine="643" w:right="0"/>
        <w:rPr>
          <w:rFonts w:ascii="仿宋_GB2312;仿宋" w:hAnsi="仿宋_GB2312;仿宋" w:eastAsia="仿宋_GB2312;仿宋" w:cs="宋体;SimSun"/>
          <w:b/>
          <w:color w:val="000000"/>
          <w:sz w:val="32"/>
          <w:szCs w:val="32"/>
        </w:rPr>
      </w:pPr>
      <w:r>
        <w:rPr>
          <w:rFonts w:ascii="仿宋_GB2312;仿宋" w:hAnsi="仿宋_GB2312;仿宋" w:cs="宋体;SimSun" w:eastAsia="仿宋_GB2312;仿宋"/>
          <w:b/>
          <w:color w:val="000000"/>
          <w:sz w:val="32"/>
          <w:szCs w:val="32"/>
        </w:rPr>
        <w:t>现将《华中农业大学关于鼓励毕业生到中西部和基层就业的实施办法（修订）》印发给你们，请遵照执行。</w:t>
      </w:r>
    </w:p>
    <w:p>
      <w:pPr>
        <w:pStyle w:val="Normal"/>
        <w:spacing w:lineRule="exact" w:line="600" w:before="0" w:after="0"/>
        <w:ind w:firstLine="643" w:right="0"/>
        <w:rPr>
          <w:rFonts w:ascii="仿宋_GB2312;仿宋" w:hAnsi="仿宋_GB2312;仿宋" w:eastAsia="仿宋_GB2312;仿宋" w:cs="宋体;SimSun"/>
          <w:b/>
          <w:color w:val="000000"/>
          <w:sz w:val="32"/>
          <w:szCs w:val="32"/>
        </w:rPr>
      </w:pPr>
      <w:r>
        <w:rPr>
          <w:rFonts w:ascii="仿宋_GB2312;仿宋" w:hAnsi="仿宋_GB2312;仿宋" w:eastAsia="仿宋_GB2312;仿宋"/>
          <w:b/>
          <w:sz w:val="32"/>
          <w:szCs w:val="32"/>
        </w:rPr>
        <w:t>特此通知。</w:t>
      </w:r>
    </w:p>
    <w:p>
      <w:pPr>
        <w:pStyle w:val="Normal"/>
        <w:spacing w:lineRule="exact" w:line="600" w:before="0" w:after="0"/>
        <w:ind w:firstLine="645" w:right="0"/>
        <w:rPr>
          <w:rFonts w:ascii="仿宋_GB2312;仿宋" w:hAnsi="仿宋_GB2312;仿宋" w:eastAsia="仿宋_GB2312;仿宋" w:cs="宋体;SimSun"/>
          <w:b/>
          <w:color w:val="000000"/>
          <w:sz w:val="32"/>
          <w:szCs w:val="32"/>
        </w:rPr>
      </w:pPr>
      <w:r>
        <w:rPr>
          <w:rFonts w:eastAsia="仿宋_GB2312;仿宋" w:cs="宋体;SimSun" w:ascii="仿宋_GB2312;仿宋" w:hAnsi="仿宋_GB2312;仿宋"/>
          <w:b/>
          <w:color w:val="000000"/>
          <w:sz w:val="32"/>
          <w:szCs w:val="32"/>
        </w:rPr>
      </w:r>
    </w:p>
    <w:p>
      <w:pPr>
        <w:pStyle w:val="Normal"/>
        <w:spacing w:lineRule="exact" w:line="600" w:before="0" w:after="0"/>
        <w:ind w:firstLine="645" w:right="0"/>
        <w:rPr>
          <w:rFonts w:ascii="仿宋_GB2312;仿宋" w:hAnsi="仿宋_GB2312;仿宋" w:eastAsia="仿宋_GB2312;仿宋" w:cs="宋体;SimSun"/>
          <w:b/>
          <w:color w:val="000000"/>
          <w:sz w:val="32"/>
          <w:szCs w:val="32"/>
        </w:rPr>
      </w:pPr>
      <w:r>
        <w:rPr>
          <w:rFonts w:eastAsia="仿宋_GB2312;仿宋" w:cs="宋体;SimSun" w:ascii="仿宋_GB2312;仿宋" w:hAnsi="仿宋_GB2312;仿宋"/>
          <w:b/>
          <w:color w:val="000000"/>
          <w:sz w:val="32"/>
          <w:szCs w:val="32"/>
        </w:rPr>
      </w:r>
    </w:p>
    <w:p>
      <w:pPr>
        <w:pStyle w:val="Normal"/>
        <w:spacing w:lineRule="exact" w:line="600" w:before="0" w:after="0"/>
        <w:ind w:firstLine="4253" w:right="0"/>
        <w:jc w:val="center"/>
        <w:rPr/>
      </w:pPr>
      <w:r>
        <w:rPr>
          <w:rFonts w:ascii="仿宋_GB2312;仿宋" w:hAnsi="仿宋_GB2312;仿宋" w:cs="宋体;SimSun" w:eastAsia="仿宋_GB2312;仿宋"/>
          <w:b/>
          <w:color w:val="000000"/>
          <w:sz w:val="32"/>
          <w:szCs w:val="32"/>
        </w:rPr>
        <mc:AlternateContent>
          <mc:Choice Requires="wps">
            <w:drawing>
              <wp:anchor behindDoc="0" distT="0" distB="0" distL="114935" distR="114935" simplePos="0" locked="0" layoutInCell="1" allowOverlap="1" relativeHeight="6">
                <wp:simplePos x="0" y="0"/>
                <wp:positionH relativeFrom="column">
                  <wp:posOffset>-3780155</wp:posOffset>
                </wp:positionH>
                <wp:positionV relativeFrom="paragraph">
                  <wp:posOffset>-5346065</wp:posOffset>
                </wp:positionV>
                <wp:extent cx="15120620" cy="20116800"/>
                <wp:effectExtent l="0" t="0" r="0" b="0"/>
                <wp:wrapNone/>
                <wp:docPr id="2" name="KG_Shd_1"/>
                <a:graphic xmlns:a="http://schemas.openxmlformats.org/drawingml/2006/main">
                  <a:graphicData uri="http://schemas.microsoft.com/office/word/2010/wordprocessingShape">
                    <wps:wsp>
                      <wps:cNvSpPr/>
                      <wps:spPr>
                        <a:xfrm>
                          <a:off x="0" y="0"/>
                          <a:ext cx="15120720" cy="20116800"/>
                        </a:xfrm>
                        <a:prstGeom prst="rect">
                          <a:avLst/>
                        </a:prstGeom>
                        <a:noFill/>
                        <a:ln w="9360">
                          <a:solidFill>
                            <a:srgbClr val="ffffff">
                              <a:alpha val="0"/>
                            </a:srgbClr>
                          </a:solidFill>
                          <a:miter/>
                        </a:ln>
                      </wps:spPr>
                      <wps:style>
                        <a:lnRef idx="0"/>
                        <a:fillRef idx="0"/>
                        <a:effectRef idx="0"/>
                        <a:fontRef idx="minor"/>
                      </wps:style>
                      <wps:bodyPr/>
                    </wps:wsp>
                  </a:graphicData>
                </a:graphic>
              </wp:anchor>
            </w:drawing>
          </mc:Choice>
          <mc:Fallback>
            <w:pict>
              <v:rect id="shape_0" ID="KG_Shd_1" fillcolor="white" stroked="t" o:allowincell="f" style="position:absolute;margin-left:-297.65pt;margin-top:-420.95pt;width:1190.55pt;height:1583.95pt;mso-wrap-style:none;v-text-anchor:middle">
                <v:fill o:detectmouseclick="t" type="solid" color2="black" opacity="0"/>
                <v:stroke color="white" weight="9360" joinstyle="miter" endcap="flat"/>
                <w10:wrap type="none"/>
              </v:rect>
            </w:pict>
          </mc:Fallback>
        </mc:AlternateContent>
        <w:t>华中农</w:t>
      </w:r>
      <w:r>
        <w:drawing>
          <wp:anchor behindDoc="0" distT="0" distB="0" distL="114935" distR="114935" simplePos="0" locked="0" layoutInCell="0" allowOverlap="1" relativeHeight="5">
            <wp:simplePos x="0" y="0"/>
            <wp:positionH relativeFrom="page">
              <wp:posOffset>4233545</wp:posOffset>
            </wp:positionH>
            <wp:positionV relativeFrom="page">
              <wp:posOffset>7024370</wp:posOffset>
            </wp:positionV>
            <wp:extent cx="1788795" cy="1713230"/>
            <wp:effectExtent l="0" t="0" r="0" b="0"/>
            <wp:wrapNone/>
            <wp:docPr id="3" name="KG_65966767$01$29$0000$N$000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G_65966767$01$29$0000$N$000100" descr=""/>
                    <pic:cNvPicPr>
                      <a:picLocks noChangeAspect="1" noChangeArrowheads="1"/>
                    </pic:cNvPicPr>
                  </pic:nvPicPr>
                  <pic:blipFill>
                    <a:blip r:embed="rId2">
                      <a:grayscl/>
                    </a:blip>
                    <a:srcRect l="-15" t="-16" r="-15" b="-16"/>
                    <a:stretch>
                      <a:fillRect/>
                    </a:stretch>
                  </pic:blipFill>
                  <pic:spPr bwMode="auto">
                    <a:xfrm>
                      <a:off x="0" y="0"/>
                      <a:ext cx="1788795" cy="1713230"/>
                    </a:xfrm>
                    <a:prstGeom prst="rect">
                      <a:avLst/>
                    </a:prstGeom>
                  </pic:spPr>
                </pic:pic>
              </a:graphicData>
            </a:graphic>
          </wp:anchor>
        </w:drawing>
      </w:r>
      <w:r>
        <w:rPr>
          <w:rFonts w:ascii="仿宋_GB2312;仿宋" w:hAnsi="仿宋_GB2312;仿宋" w:cs="宋体;SimSun" w:eastAsia="仿宋_GB2312;仿宋"/>
          <w:b/>
          <w:color w:val="000000"/>
          <w:sz w:val="32"/>
          <w:szCs w:val="32"/>
        </w:rPr>
        <w:t>业大学</w:t>
      </w:r>
    </w:p>
    <w:p>
      <w:pPr>
        <w:pStyle w:val="Normal"/>
        <w:spacing w:lineRule="exact" w:line="600" w:before="0" w:after="0"/>
        <w:ind w:firstLine="4253" w:right="0"/>
        <w:jc w:val="center"/>
        <w:rPr>
          <w:rFonts w:ascii="仿宋_GB2312;仿宋" w:hAnsi="仿宋_GB2312;仿宋" w:eastAsia="仿宋_GB2312;仿宋" w:cs="宋体;SimSun"/>
          <w:b/>
          <w:sz w:val="32"/>
          <w:szCs w:val="32"/>
        </w:rPr>
      </w:pPr>
      <w:r>
        <w:rPr>
          <w:rFonts w:eastAsia="仿宋_GB2312;仿宋" w:cs="宋体;SimSun" w:ascii="仿宋_GB2312;仿宋" w:hAnsi="仿宋_GB2312;仿宋"/>
          <w:b/>
          <w:sz w:val="32"/>
          <w:szCs w:val="32"/>
        </w:rPr>
        <w:t>2023</w:t>
      </w:r>
      <w:r>
        <w:rPr>
          <w:rFonts w:ascii="仿宋_GB2312;仿宋" w:hAnsi="仿宋_GB2312;仿宋" w:cs="宋体;SimSun" w:eastAsia="仿宋_GB2312;仿宋"/>
          <w:b/>
          <w:sz w:val="32"/>
          <w:szCs w:val="32"/>
        </w:rPr>
        <w:t>年</w:t>
      </w:r>
      <w:r>
        <w:rPr>
          <w:rFonts w:eastAsia="仿宋_GB2312;仿宋" w:cs="宋体;SimSun" w:ascii="仿宋_GB2312;仿宋" w:hAnsi="仿宋_GB2312;仿宋"/>
          <w:b/>
          <w:sz w:val="32"/>
          <w:szCs w:val="32"/>
        </w:rPr>
        <w:t>12</w:t>
      </w:r>
      <w:r>
        <w:rPr>
          <w:rFonts w:ascii="仿宋_GB2312;仿宋" w:hAnsi="仿宋_GB2312;仿宋" w:cs="宋体;SimSun" w:eastAsia="仿宋_GB2312;仿宋"/>
          <w:b/>
          <w:sz w:val="32"/>
          <w:szCs w:val="32"/>
        </w:rPr>
        <w:t>月</w:t>
      </w:r>
      <w:r>
        <w:rPr>
          <w:rFonts w:eastAsia="仿宋_GB2312;仿宋" w:cs="宋体;SimSun" w:ascii="仿宋_GB2312;仿宋" w:hAnsi="仿宋_GB2312;仿宋"/>
          <w:b/>
          <w:sz w:val="32"/>
          <w:szCs w:val="32"/>
        </w:rPr>
        <w:t>28</w:t>
      </w:r>
      <w:r>
        <w:rPr>
          <w:rFonts w:ascii="仿宋_GB2312;仿宋" w:hAnsi="仿宋_GB2312;仿宋" w:cs="宋体;SimSun" w:eastAsia="仿宋_GB2312;仿宋"/>
          <w:b/>
          <w:sz w:val="32"/>
          <w:szCs w:val="32"/>
        </w:rPr>
        <w:t>日</w:t>
      </w:r>
    </w:p>
    <w:p>
      <w:pPr>
        <w:pStyle w:val="Normal"/>
        <w:spacing w:lineRule="exact" w:line="600" w:before="0" w:after="0"/>
        <w:jc w:val="center"/>
        <w:rPr>
          <w:rFonts w:ascii="华文中宋" w:hAnsi="华文中宋" w:eastAsia="华文中宋" w:cs="华文中宋"/>
          <w:b/>
          <w:bCs/>
          <w:kern w:val="2"/>
          <w:sz w:val="32"/>
          <w:szCs w:val="32"/>
        </w:rPr>
      </w:pPr>
      <w:r>
        <w:rPr>
          <w:rFonts w:eastAsia="华文中宋" w:cs="华文中宋" w:ascii="华文中宋" w:hAnsi="华文中宋"/>
          <w:b/>
          <w:bCs/>
          <w:kern w:val="2"/>
          <w:sz w:val="32"/>
          <w:szCs w:val="32"/>
        </w:rPr>
      </w:r>
      <w:r>
        <w:br w:type="page"/>
      </w:r>
    </w:p>
    <w:p>
      <w:pPr>
        <w:pStyle w:val="Normal"/>
        <w:spacing w:lineRule="exact" w:line="600" w:before="0" w:after="0"/>
        <w:jc w:val="center"/>
        <w:rPr>
          <w:rFonts w:ascii="方正小标宋简体;Microsoft YaHei UI" w:hAnsi="方正小标宋简体;Microsoft YaHei UI" w:eastAsia="方正小标宋简体;Microsoft YaHei UI" w:cs="华文中宋"/>
          <w:b/>
          <w:bCs/>
          <w:sz w:val="36"/>
          <w:szCs w:val="36"/>
        </w:rPr>
      </w:pPr>
      <w:r>
        <w:rPr>
          <w:rFonts w:ascii="方正小标宋简体;Microsoft YaHei UI" w:hAnsi="方正小标宋简体;Microsoft YaHei UI" w:cs="华文中宋" w:eastAsia="方正小标宋简体;Microsoft YaHei UI"/>
          <w:b/>
          <w:bCs/>
          <w:sz w:val="36"/>
          <w:szCs w:val="36"/>
        </w:rPr>
        <w:t>华中农业大学关于鼓励毕业生到中西部和基层就业的</w:t>
      </w:r>
    </w:p>
    <w:p>
      <w:pPr>
        <w:pStyle w:val="Normal"/>
        <w:spacing w:lineRule="exact" w:line="600" w:before="0" w:after="0"/>
        <w:jc w:val="center"/>
        <w:rPr>
          <w:rFonts w:ascii="方正小标宋简体;Microsoft YaHei UI" w:hAnsi="方正小标宋简体;Microsoft YaHei UI" w:eastAsia="方正小标宋简体;Microsoft YaHei UI" w:cs="华文中宋"/>
          <w:b/>
          <w:bCs/>
          <w:sz w:val="36"/>
          <w:szCs w:val="36"/>
        </w:rPr>
      </w:pPr>
      <w:r>
        <w:rPr>
          <w:rFonts w:ascii="方正小标宋简体;Microsoft YaHei UI" w:hAnsi="方正小标宋简体;Microsoft YaHei UI" w:cs="华文中宋" w:eastAsia="方正小标宋简体;Microsoft YaHei UI"/>
          <w:b/>
          <w:bCs/>
          <w:sz w:val="36"/>
          <w:szCs w:val="36"/>
        </w:rPr>
        <w:t>实施办法（修订）</w:t>
      </w:r>
    </w:p>
    <w:p>
      <w:pPr>
        <w:pStyle w:val="Normal"/>
        <w:spacing w:lineRule="exact" w:line="560" w:before="0" w:after="0"/>
        <w:jc w:val="center"/>
        <w:rPr>
          <w:rFonts w:ascii="方正小标宋简体;Microsoft YaHei UI" w:hAnsi="方正小标宋简体;Microsoft YaHei UI" w:eastAsia="方正小标宋简体;Microsoft YaHei UI" w:cs="华文中宋"/>
          <w:b/>
          <w:bCs/>
          <w:sz w:val="36"/>
          <w:szCs w:val="36"/>
        </w:rPr>
      </w:pPr>
      <w:r>
        <w:rPr>
          <w:rFonts w:eastAsia="方正小标宋简体;Microsoft YaHei UI" w:cs="华文中宋" w:ascii="方正小标宋简体;Microsoft YaHei UI" w:hAnsi="方正小标宋简体;Microsoft YaHei UI"/>
          <w:b/>
          <w:bCs/>
          <w:sz w:val="36"/>
          <w:szCs w:val="36"/>
        </w:rPr>
      </w:r>
    </w:p>
    <w:p>
      <w:pPr>
        <w:pStyle w:val="Normal"/>
        <w:widowControl w:val="false"/>
        <w:spacing w:lineRule="exact" w:line="560" w:before="0" w:after="0"/>
        <w:jc w:val="center"/>
        <w:rPr>
          <w:rFonts w:ascii="Times New Roman" w:hAnsi="Times New Roman" w:eastAsia="仿宋_GB2312;仿宋" w:cs="Times New Roman"/>
          <w:b/>
          <w:sz w:val="30"/>
          <w:szCs w:val="30"/>
        </w:rPr>
      </w:pPr>
      <w:r>
        <w:rPr>
          <w:rFonts w:ascii="Times New Roman" w:hAnsi="Times New Roman" w:cs="黑体;SimHei" w:eastAsia="黑体;SimHei"/>
          <w:b/>
          <w:color w:val="333333"/>
          <w:sz w:val="30"/>
          <w:szCs w:val="30"/>
        </w:rPr>
        <w:t>第一章</w:t>
      </w:r>
      <w:r>
        <w:rPr>
          <w:rFonts w:ascii="Times New Roman" w:hAnsi="Times New Roman" w:cs="Times New Roman" w:eastAsia="Times New Roman"/>
          <w:b/>
          <w:color w:val="333333"/>
          <w:sz w:val="30"/>
          <w:szCs w:val="30"/>
        </w:rPr>
        <w:t xml:space="preserve">  </w:t>
      </w:r>
      <w:r>
        <w:rPr>
          <w:rFonts w:ascii="Times New Roman" w:hAnsi="Times New Roman" w:cs="黑体;SimHei" w:eastAsia="黑体;SimHei"/>
          <w:b/>
          <w:color w:val="333333"/>
          <w:sz w:val="30"/>
          <w:szCs w:val="30"/>
        </w:rPr>
        <w:t>总</w:t>
      </w:r>
      <w:r>
        <w:rPr>
          <w:rFonts w:ascii="Times New Roman" w:hAnsi="Times New Roman" w:cs="Times New Roman" w:eastAsia="Times New Roman"/>
          <w:b/>
          <w:color w:val="333333"/>
          <w:sz w:val="30"/>
          <w:szCs w:val="30"/>
        </w:rPr>
        <w:t xml:space="preserve"> </w:t>
      </w:r>
      <w:r>
        <w:rPr>
          <w:rFonts w:ascii="Times New Roman" w:hAnsi="Times New Roman" w:cs="黑体;SimHei" w:eastAsia="黑体;SimHei"/>
          <w:b/>
          <w:color w:val="333333"/>
          <w:sz w:val="30"/>
          <w:szCs w:val="30"/>
        </w:rPr>
        <w:t>则</w:t>
      </w:r>
    </w:p>
    <w:p>
      <w:pPr>
        <w:pStyle w:val="Normal"/>
        <w:widowControl w:val="false"/>
        <w:spacing w:lineRule="exact" w:line="560" w:before="0" w:after="0"/>
        <w:ind w:firstLine="602" w:right="0"/>
        <w:rPr/>
      </w:pPr>
      <w:r>
        <w:rPr>
          <w:rFonts w:ascii="Times New Roman" w:hAnsi="Times New Roman" w:cs="黑体;SimHei" w:eastAsia="黑体;SimHei"/>
          <w:b/>
          <w:sz w:val="30"/>
          <w:szCs w:val="30"/>
        </w:rPr>
        <w:t>第一条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sz w:val="30"/>
          <w:szCs w:val="30"/>
        </w:rPr>
        <w:t>为贯彻《国务院办公厅关于进一步做好高校毕业生等青年就业创业工作的通知》（国办发〔</w:t>
      </w:r>
      <w:r>
        <w:rPr>
          <w:rFonts w:eastAsia="仿宋_GB2312;仿宋" w:cs="Times New Roman" w:ascii="Times New Roman" w:hAnsi="Times New Roman"/>
          <w:sz w:val="30"/>
          <w:szCs w:val="30"/>
        </w:rPr>
        <w:t>2022</w:t>
      </w:r>
      <w:r>
        <w:rPr>
          <w:rFonts w:ascii="Times New Roman" w:hAnsi="Times New Roman" w:cs="Times New Roman" w:eastAsia="仿宋_GB2312;仿宋"/>
          <w:sz w:val="30"/>
          <w:szCs w:val="30"/>
        </w:rPr>
        <w:t>〕</w:t>
      </w:r>
      <w:r>
        <w:rPr>
          <w:rFonts w:eastAsia="仿宋_GB2312;仿宋" w:cs="Times New Roman" w:ascii="Times New Roman" w:hAnsi="Times New Roman"/>
          <w:sz w:val="30"/>
          <w:szCs w:val="30"/>
        </w:rPr>
        <w:t>13</w:t>
      </w:r>
      <w:r>
        <w:rPr>
          <w:rFonts w:ascii="Times New Roman" w:hAnsi="Times New Roman" w:cs="Times New Roman" w:eastAsia="仿宋_GB2312;仿宋"/>
          <w:sz w:val="30"/>
          <w:szCs w:val="30"/>
        </w:rPr>
        <w:t>号）、《中共中央办公厅、国务院办公厅关于进一步引导和鼓励高校毕业生到基层工作的意见》（中办发〔</w:t>
      </w:r>
      <w:r>
        <w:rPr>
          <w:rFonts w:eastAsia="仿宋_GB2312;仿宋" w:cs="Times New Roman" w:ascii="Times New Roman" w:hAnsi="Times New Roman"/>
          <w:sz w:val="30"/>
          <w:szCs w:val="30"/>
        </w:rPr>
        <w:t>2016</w:t>
      </w:r>
      <w:r>
        <w:rPr>
          <w:rFonts w:ascii="Times New Roman" w:hAnsi="Times New Roman" w:cs="Times New Roman" w:eastAsia="仿宋_GB2312;仿宋"/>
          <w:sz w:val="30"/>
          <w:szCs w:val="30"/>
        </w:rPr>
        <w:t>〕</w:t>
      </w:r>
      <w:r>
        <w:rPr>
          <w:rFonts w:eastAsia="仿宋_GB2312;仿宋" w:cs="Times New Roman" w:ascii="Times New Roman" w:hAnsi="Times New Roman"/>
          <w:sz w:val="30"/>
          <w:szCs w:val="30"/>
        </w:rPr>
        <w:t>79</w:t>
      </w:r>
      <w:r>
        <w:rPr>
          <w:rFonts w:ascii="Times New Roman" w:hAnsi="Times New Roman" w:cs="Times New Roman" w:eastAsia="仿宋_GB2312;仿宋"/>
          <w:sz w:val="30"/>
          <w:szCs w:val="30"/>
        </w:rPr>
        <w:t>号）等文件精神，引导和鼓励我校毕业生将个人成长成才与国家民族发展紧密结合，坚持与祖国同行、为人民奉献，主动到中西部和基层就业创业，结合学校实际，制定本办法。</w:t>
      </w:r>
    </w:p>
    <w:p>
      <w:pPr>
        <w:pStyle w:val="Normal"/>
        <w:widowControl w:val="false"/>
        <w:spacing w:lineRule="exact" w:line="560" w:before="0" w:after="0"/>
        <w:ind w:firstLine="602" w:right="0"/>
        <w:rPr/>
      </w:pPr>
      <w:r>
        <w:rPr>
          <w:rFonts w:ascii="Times New Roman" w:hAnsi="Times New Roman" w:cs="黑体;SimHei" w:eastAsia="黑体;SimHei"/>
          <w:b/>
          <w:sz w:val="30"/>
          <w:szCs w:val="30"/>
        </w:rPr>
        <w:t>第二条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sz w:val="30"/>
          <w:szCs w:val="30"/>
        </w:rPr>
        <w:t>本办法中的“中部”是指：河北、山西、吉林、黑龙江、安徽、江西、河南、湖北、湖南、海南等</w:t>
      </w:r>
      <w:r>
        <w:rPr>
          <w:rFonts w:eastAsia="仿宋_GB2312;仿宋" w:cs="Times New Roman" w:ascii="Times New Roman" w:hAnsi="Times New Roman"/>
          <w:sz w:val="30"/>
          <w:szCs w:val="30"/>
        </w:rPr>
        <w:t>10</w:t>
      </w:r>
      <w:r>
        <w:rPr>
          <w:rFonts w:ascii="Times New Roman" w:hAnsi="Times New Roman" w:cs="Times New Roman" w:eastAsia="仿宋_GB2312;仿宋"/>
          <w:sz w:val="30"/>
          <w:szCs w:val="30"/>
        </w:rPr>
        <w:t>个省。“西部”是指：西藏、内蒙古、广西、重庆、四川、贵州、云南、陕西、甘肃、青海、宁夏、新疆等</w:t>
      </w:r>
      <w:r>
        <w:rPr>
          <w:rFonts w:eastAsia="仿宋_GB2312;仿宋" w:cs="Times New Roman" w:ascii="Times New Roman" w:hAnsi="Times New Roman"/>
          <w:sz w:val="30"/>
          <w:szCs w:val="30"/>
        </w:rPr>
        <w:t>12</w:t>
      </w:r>
      <w:r>
        <w:rPr>
          <w:rFonts w:ascii="Times New Roman" w:hAnsi="Times New Roman" w:cs="Times New Roman" w:eastAsia="仿宋_GB2312;仿宋"/>
          <w:sz w:val="30"/>
          <w:szCs w:val="30"/>
        </w:rPr>
        <w:t>个省（自治区、直辖市）。“基层就业”是指“选聘高校毕业生到村任职工作”“高校毕业生到农村基层从事支教、支农、支医和扶贫工作”“大学生志愿服务西部计划”“大学生村官”“农村义务教育阶段学校教师特设岗位计划”“农业技术推广服务特设岗位计划”，选调生等基层项目就业和到县（不含）以下机关、事业单位就业创业（非灵活就业）。</w:t>
      </w:r>
    </w:p>
    <w:p>
      <w:pPr>
        <w:pStyle w:val="Normal"/>
        <w:widowControl w:val="false"/>
        <w:spacing w:lineRule="exact" w:line="560" w:before="0" w:after="0"/>
        <w:ind w:firstLine="602" w:right="0"/>
        <w:rPr/>
      </w:pPr>
      <w:r>
        <w:rPr>
          <w:rFonts w:ascii="Times New Roman" w:hAnsi="Times New Roman" w:cs="黑体;SimHei" w:eastAsia="黑体;SimHei"/>
          <w:b/>
          <w:sz w:val="30"/>
          <w:szCs w:val="30"/>
        </w:rPr>
        <w:t>第三条</w:t>
      </w:r>
      <w:r>
        <w:rPr>
          <w:rFonts w:ascii="Times New Roman" w:hAnsi="Times New Roman" w:cs="Times New Roman" w:eastAsia="Times New Roman"/>
          <w:sz w:val="30"/>
          <w:szCs w:val="30"/>
        </w:rPr>
        <w:t xml:space="preserve"> </w:t>
      </w:r>
      <w:r>
        <w:rPr>
          <w:rFonts w:ascii="Times New Roman" w:hAnsi="Times New Roman" w:cs="Times New Roman" w:eastAsia="仿宋_GB2312;仿宋"/>
          <w:sz w:val="30"/>
          <w:szCs w:val="30"/>
        </w:rPr>
        <w:t>学校有关部门和各培养单位要加强对学生的思想政治教育，广泛开展以“成才观、职业观、就业观”为核心的就业育人主题教育活动，帮助学生树立远大理想和坚定信念，鼓励毕业生扎根基层、服务基层。要加大宣传力度，树立先进典型，唱响毕业生到中西部和基层就业创业的主旋律。</w:t>
      </w:r>
    </w:p>
    <w:p>
      <w:pPr>
        <w:pStyle w:val="Normal"/>
        <w:widowControl w:val="false"/>
        <w:spacing w:lineRule="exact" w:line="560" w:before="0" w:after="0"/>
        <w:jc w:val="center"/>
        <w:rPr>
          <w:rFonts w:ascii="Times New Roman" w:hAnsi="Times New Roman" w:eastAsia="黑体;SimHei" w:cs="Times New Roman"/>
          <w:b/>
          <w:color w:val="333333"/>
          <w:sz w:val="30"/>
          <w:szCs w:val="30"/>
        </w:rPr>
      </w:pPr>
      <w:r>
        <w:rPr>
          <w:rFonts w:ascii="Times New Roman" w:hAnsi="Times New Roman" w:cs="黑体;SimHei" w:eastAsia="黑体;SimHei"/>
          <w:b/>
          <w:color w:val="333333"/>
          <w:sz w:val="30"/>
          <w:szCs w:val="30"/>
        </w:rPr>
        <w:t>第二章</w:t>
      </w:r>
      <w:r>
        <w:rPr>
          <w:rFonts w:ascii="Times New Roman" w:hAnsi="Times New Roman" w:cs="Times New Roman" w:eastAsia="Times New Roman"/>
          <w:b/>
          <w:color w:val="333333"/>
          <w:sz w:val="30"/>
          <w:szCs w:val="30"/>
        </w:rPr>
        <w:t xml:space="preserve">  </w:t>
      </w:r>
      <w:r>
        <w:rPr>
          <w:rFonts w:ascii="Times New Roman" w:hAnsi="Times New Roman" w:cs="黑体;SimHei" w:eastAsia="黑体;SimHei"/>
          <w:b/>
          <w:color w:val="333333"/>
          <w:sz w:val="30"/>
          <w:szCs w:val="30"/>
        </w:rPr>
        <w:t>表彰与奖励</w:t>
      </w:r>
    </w:p>
    <w:p>
      <w:pPr>
        <w:pStyle w:val="Normal"/>
        <w:widowControl w:val="false"/>
        <w:spacing w:lineRule="exact" w:line="600" w:before="0" w:after="0"/>
        <w:ind w:firstLine="602" w:right="0"/>
        <w:rPr>
          <w:rFonts w:ascii="Times New Roman" w:hAnsi="Times New Roman" w:eastAsia="仿宋_GB2312;仿宋" w:cs="Times New Roman"/>
          <w:b/>
          <w:kern w:val="2"/>
          <w:sz w:val="30"/>
          <w:szCs w:val="30"/>
        </w:rPr>
      </w:pPr>
      <w:r>
        <w:rPr>
          <w:rFonts w:ascii="Times New Roman" w:hAnsi="Times New Roman" w:cs="黑体;SimHei" w:eastAsia="黑体;SimHei"/>
          <w:b/>
          <w:sz w:val="30"/>
          <w:szCs w:val="30"/>
        </w:rPr>
        <w:t>第四条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sz w:val="30"/>
          <w:szCs w:val="30"/>
        </w:rPr>
        <w:t>学校建立专项表彰制度，对自愿到中西部和基层就业创业，服务期在两年及以上的应届毕业生给予表彰和奖励。</w:t>
      </w:r>
    </w:p>
    <w:p>
      <w:pPr>
        <w:pStyle w:val="Normal"/>
        <w:widowControl w:val="false"/>
        <w:spacing w:lineRule="exact" w:line="600" w:before="0" w:after="0"/>
        <w:ind w:firstLine="602" w:right="0"/>
        <w:rPr/>
      </w:pPr>
      <w:r>
        <w:rPr>
          <w:rFonts w:ascii="Times New Roman" w:hAnsi="Times New Roman" w:cs="黑体;SimHei" w:eastAsia="黑体;SimHei"/>
          <w:b/>
          <w:sz w:val="30"/>
          <w:szCs w:val="30"/>
        </w:rPr>
        <w:t>第五条</w:t>
      </w:r>
      <w:r>
        <w:rPr>
          <w:rFonts w:ascii="Times New Roman" w:hAnsi="Times New Roman" w:cs="Times New Roman" w:eastAsia="Times New Roman"/>
          <w:sz w:val="30"/>
          <w:szCs w:val="30"/>
        </w:rPr>
        <w:t xml:space="preserve"> </w:t>
      </w:r>
      <w:r>
        <w:rPr>
          <w:rFonts w:ascii="Times New Roman" w:hAnsi="Times New Roman" w:cs="Times New Roman" w:eastAsia="仿宋_GB2312;仿宋"/>
          <w:sz w:val="30"/>
          <w:szCs w:val="30"/>
        </w:rPr>
        <w:t>鼓励和支持毕业生到中西部地区就业。</w:t>
      </w:r>
    </w:p>
    <w:p>
      <w:pPr>
        <w:pStyle w:val="Normal"/>
        <w:widowControl w:val="false"/>
        <w:spacing w:lineRule="exact" w:line="600" w:before="0" w:after="0"/>
        <w:ind w:firstLine="600" w:right="0"/>
        <w:rPr>
          <w:rFonts w:ascii="Times New Roman" w:hAnsi="Times New Roman" w:eastAsia="仿宋_GB2312;仿宋" w:cs="Times New Roman"/>
          <w:sz w:val="30"/>
          <w:szCs w:val="30"/>
        </w:rPr>
      </w:pPr>
      <w:r>
        <w:rPr>
          <w:rFonts w:ascii="Times New Roman" w:hAnsi="Times New Roman" w:cs="Times New Roman" w:eastAsia="仿宋_GB2312;仿宋"/>
          <w:sz w:val="30"/>
          <w:szCs w:val="30"/>
        </w:rPr>
        <w:t>（一）到西藏、新疆非省会城市就业创业的，学校一次性奖励人民币</w:t>
      </w:r>
      <w:r>
        <w:rPr>
          <w:rFonts w:eastAsia="仿宋_GB2312;仿宋" w:cs="Times New Roman" w:ascii="Times New Roman" w:hAnsi="Times New Roman"/>
          <w:sz w:val="30"/>
          <w:szCs w:val="30"/>
        </w:rPr>
        <w:t>6000</w:t>
      </w:r>
      <w:r>
        <w:rPr>
          <w:rFonts w:ascii="Times New Roman" w:hAnsi="Times New Roman" w:cs="Times New Roman" w:eastAsia="仿宋_GB2312;仿宋"/>
          <w:sz w:val="30"/>
          <w:szCs w:val="30"/>
        </w:rPr>
        <w:t>元。</w:t>
      </w:r>
    </w:p>
    <w:p>
      <w:pPr>
        <w:pStyle w:val="Normal"/>
        <w:widowControl w:val="false"/>
        <w:spacing w:lineRule="exact" w:line="600" w:before="0" w:after="0"/>
        <w:ind w:firstLine="600" w:right="0"/>
        <w:rPr>
          <w:rFonts w:ascii="Times New Roman" w:hAnsi="Times New Roman" w:eastAsia="仿宋_GB2312;仿宋" w:cs="Times New Roman"/>
          <w:sz w:val="30"/>
          <w:szCs w:val="30"/>
        </w:rPr>
      </w:pPr>
      <w:r>
        <w:rPr>
          <w:rFonts w:ascii="Times New Roman" w:hAnsi="Times New Roman" w:cs="Times New Roman" w:eastAsia="仿宋_GB2312;仿宋"/>
          <w:sz w:val="30"/>
          <w:szCs w:val="30"/>
        </w:rPr>
        <w:t>（二）到西藏、新疆省会城市就业创业的，学校一次性奖励人民币</w:t>
      </w:r>
      <w:r>
        <w:rPr>
          <w:rFonts w:eastAsia="仿宋_GB2312;仿宋" w:cs="Times New Roman" w:ascii="Times New Roman" w:hAnsi="Times New Roman"/>
          <w:sz w:val="30"/>
          <w:szCs w:val="30"/>
        </w:rPr>
        <w:t>3000</w:t>
      </w:r>
      <w:r>
        <w:rPr>
          <w:rFonts w:ascii="Times New Roman" w:hAnsi="Times New Roman" w:cs="Times New Roman" w:eastAsia="仿宋_GB2312;仿宋"/>
          <w:sz w:val="30"/>
          <w:szCs w:val="30"/>
        </w:rPr>
        <w:t>元。</w:t>
      </w:r>
    </w:p>
    <w:p>
      <w:pPr>
        <w:pStyle w:val="Normal"/>
        <w:widowControl w:val="false"/>
        <w:spacing w:lineRule="exact" w:line="600" w:before="0" w:after="0"/>
        <w:ind w:firstLine="600" w:right="0"/>
        <w:rPr>
          <w:rFonts w:ascii="Times New Roman" w:hAnsi="Times New Roman" w:eastAsia="仿宋_GB2312;仿宋" w:cs="Times New Roman"/>
          <w:sz w:val="30"/>
          <w:szCs w:val="30"/>
        </w:rPr>
      </w:pPr>
      <w:r>
        <w:rPr>
          <w:rFonts w:ascii="Times New Roman" w:hAnsi="Times New Roman" w:cs="Times New Roman" w:eastAsia="仿宋_GB2312;仿宋"/>
          <w:sz w:val="30"/>
          <w:szCs w:val="30"/>
        </w:rPr>
        <w:t>（三）到西藏、新疆以外其他中西部地区非省会地域就业创业的，学校一次性奖励人民币</w:t>
      </w:r>
      <w:r>
        <w:rPr>
          <w:rFonts w:eastAsia="仿宋_GB2312;仿宋" w:cs="Times New Roman" w:ascii="Times New Roman" w:hAnsi="Times New Roman"/>
          <w:sz w:val="30"/>
          <w:szCs w:val="30"/>
        </w:rPr>
        <w:t>2000</w:t>
      </w:r>
      <w:r>
        <w:rPr>
          <w:rFonts w:ascii="Times New Roman" w:hAnsi="Times New Roman" w:cs="Times New Roman" w:eastAsia="仿宋_GB2312;仿宋"/>
          <w:sz w:val="30"/>
          <w:szCs w:val="30"/>
        </w:rPr>
        <w:t>元。</w:t>
      </w:r>
    </w:p>
    <w:p>
      <w:pPr>
        <w:pStyle w:val="Normal"/>
        <w:widowControl w:val="false"/>
        <w:spacing w:lineRule="exact" w:line="600" w:before="0" w:after="0"/>
        <w:ind w:firstLine="602" w:right="0"/>
        <w:rPr/>
      </w:pPr>
      <w:r>
        <w:rPr>
          <w:rFonts w:ascii="Times New Roman" w:hAnsi="Times New Roman" w:cs="黑体;SimHei" w:eastAsia="黑体;SimHei"/>
          <w:b/>
          <w:sz w:val="30"/>
          <w:szCs w:val="30"/>
        </w:rPr>
        <w:t>第六条</w:t>
      </w:r>
      <w:r>
        <w:rPr>
          <w:rFonts w:ascii="Times New Roman" w:hAnsi="Times New Roman" w:cs="Times New Roman" w:eastAsia="Times New Roman"/>
          <w:sz w:val="30"/>
          <w:szCs w:val="30"/>
        </w:rPr>
        <w:t xml:space="preserve"> </w:t>
      </w:r>
      <w:r>
        <w:rPr>
          <w:rFonts w:ascii="Times New Roman" w:hAnsi="Times New Roman" w:cs="Times New Roman" w:eastAsia="仿宋_GB2312;仿宋"/>
          <w:sz w:val="30"/>
          <w:szCs w:val="30"/>
        </w:rPr>
        <w:t>鼓励和支持毕业生到基层就业。</w:t>
      </w:r>
    </w:p>
    <w:p>
      <w:pPr>
        <w:pStyle w:val="Normal"/>
        <w:widowControl w:val="false"/>
        <w:spacing w:lineRule="exact" w:line="600" w:before="0" w:after="0"/>
        <w:ind w:firstLine="600" w:right="0"/>
        <w:rPr>
          <w:rFonts w:ascii="Times New Roman" w:hAnsi="Times New Roman" w:eastAsia="仿宋_GB2312;仿宋" w:cs="Times New Roman"/>
          <w:sz w:val="30"/>
          <w:szCs w:val="30"/>
        </w:rPr>
      </w:pPr>
      <w:r>
        <w:rPr>
          <w:rFonts w:ascii="Times New Roman" w:hAnsi="Times New Roman" w:cs="Times New Roman" w:eastAsia="仿宋_GB2312;仿宋"/>
          <w:sz w:val="30"/>
          <w:szCs w:val="30"/>
        </w:rPr>
        <w:t>（一）参军入伍的毕业生，学校一次性奖励人民币</w:t>
      </w:r>
      <w:r>
        <w:rPr>
          <w:rFonts w:eastAsia="仿宋_GB2312;仿宋" w:cs="Times New Roman" w:ascii="Times New Roman" w:hAnsi="Times New Roman"/>
          <w:sz w:val="30"/>
          <w:szCs w:val="30"/>
        </w:rPr>
        <w:t>5000</w:t>
      </w:r>
      <w:r>
        <w:rPr>
          <w:rFonts w:ascii="Times New Roman" w:hAnsi="Times New Roman" w:cs="Times New Roman" w:eastAsia="仿宋_GB2312;仿宋"/>
          <w:sz w:val="30"/>
          <w:szCs w:val="30"/>
        </w:rPr>
        <w:t>元。</w:t>
      </w:r>
    </w:p>
    <w:p>
      <w:pPr>
        <w:pStyle w:val="Normal"/>
        <w:widowControl w:val="false"/>
        <w:spacing w:lineRule="exact" w:line="600" w:before="0" w:after="0"/>
        <w:ind w:firstLine="600" w:right="0"/>
        <w:rPr>
          <w:rFonts w:ascii="Times New Roman" w:hAnsi="Times New Roman" w:eastAsia="仿宋_GB2312;仿宋" w:cs="Times New Roman"/>
          <w:sz w:val="30"/>
          <w:szCs w:val="30"/>
        </w:rPr>
      </w:pPr>
      <w:r>
        <w:rPr>
          <w:rFonts w:ascii="Times New Roman" w:hAnsi="Times New Roman" w:cs="Times New Roman" w:eastAsia="仿宋_GB2312;仿宋"/>
          <w:sz w:val="30"/>
          <w:szCs w:val="30"/>
        </w:rPr>
        <w:t>（二）参加“大学生志愿服务西部计划”的毕业生，学校一次性奖励人民币</w:t>
      </w:r>
      <w:r>
        <w:rPr>
          <w:rFonts w:eastAsia="仿宋_GB2312;仿宋" w:cs="Times New Roman" w:ascii="Times New Roman" w:hAnsi="Times New Roman"/>
          <w:sz w:val="30"/>
          <w:szCs w:val="30"/>
        </w:rPr>
        <w:t>3000</w:t>
      </w:r>
      <w:r>
        <w:rPr>
          <w:rFonts w:ascii="Times New Roman" w:hAnsi="Times New Roman" w:cs="Times New Roman" w:eastAsia="仿宋_GB2312;仿宋"/>
          <w:sz w:val="30"/>
          <w:szCs w:val="30"/>
        </w:rPr>
        <w:t>元。</w:t>
      </w:r>
    </w:p>
    <w:p>
      <w:pPr>
        <w:pStyle w:val="Normal"/>
        <w:widowControl w:val="false"/>
        <w:spacing w:lineRule="exact" w:line="600" w:before="0" w:after="0"/>
        <w:ind w:firstLine="600" w:right="0"/>
        <w:rPr>
          <w:rFonts w:ascii="Times New Roman" w:hAnsi="Times New Roman" w:eastAsia="仿宋_GB2312;仿宋" w:cs="Times New Roman"/>
          <w:sz w:val="30"/>
          <w:szCs w:val="30"/>
        </w:rPr>
      </w:pPr>
      <w:r>
        <w:rPr>
          <w:rFonts w:ascii="Times New Roman" w:hAnsi="Times New Roman" w:cs="Times New Roman" w:eastAsia="仿宋_GB2312;仿宋"/>
          <w:sz w:val="30"/>
          <w:szCs w:val="30"/>
        </w:rPr>
        <w:t>（三）其他基层就业的毕业生，学校一次性奖励人民币</w:t>
      </w:r>
      <w:r>
        <w:rPr>
          <w:rFonts w:eastAsia="仿宋_GB2312;仿宋" w:cs="Times New Roman" w:ascii="Times New Roman" w:hAnsi="Times New Roman"/>
          <w:sz w:val="30"/>
          <w:szCs w:val="30"/>
        </w:rPr>
        <w:t>2000</w:t>
      </w:r>
      <w:r>
        <w:rPr>
          <w:rFonts w:ascii="Times New Roman" w:hAnsi="Times New Roman" w:cs="Times New Roman" w:eastAsia="仿宋_GB2312;仿宋"/>
          <w:sz w:val="30"/>
          <w:szCs w:val="30"/>
        </w:rPr>
        <w:t>元。</w:t>
      </w:r>
    </w:p>
    <w:p>
      <w:pPr>
        <w:pStyle w:val="Normal"/>
        <w:widowControl w:val="false"/>
        <w:spacing w:lineRule="exact" w:line="600" w:before="0" w:after="0"/>
        <w:ind w:firstLine="602" w:right="0"/>
        <w:rPr/>
      </w:pPr>
      <w:r>
        <w:rPr>
          <w:rFonts w:ascii="Times New Roman" w:hAnsi="Times New Roman" w:cs="黑体;SimHei" w:eastAsia="黑体;SimHei"/>
          <w:b/>
          <w:sz w:val="30"/>
          <w:szCs w:val="30"/>
        </w:rPr>
        <w:t>第七条</w:t>
      </w:r>
      <w:r>
        <w:rPr>
          <w:rFonts w:ascii="Times New Roman" w:hAnsi="Times New Roman" w:cs="Times New Roman" w:eastAsia="Times New Roman"/>
          <w:sz w:val="30"/>
          <w:szCs w:val="30"/>
        </w:rPr>
        <w:t xml:space="preserve"> </w:t>
      </w:r>
      <w:r>
        <w:rPr>
          <w:rFonts w:ascii="Times New Roman" w:hAnsi="Times New Roman" w:cs="Times New Roman" w:eastAsia="仿宋_GB2312;仿宋"/>
          <w:sz w:val="30"/>
          <w:szCs w:val="30"/>
        </w:rPr>
        <w:t>到中西部和基层就业的毕业生符合地域要求并达到国家规定服务年限，可按有关规定享受学费和国家助学贷款代偿政策。</w:t>
      </w:r>
    </w:p>
    <w:p>
      <w:pPr>
        <w:pStyle w:val="Normal"/>
        <w:widowControl w:val="false"/>
        <w:spacing w:lineRule="exact" w:line="600" w:before="0" w:after="0"/>
        <w:ind w:firstLine="602" w:right="0"/>
        <w:rPr/>
      </w:pPr>
      <w:r>
        <w:rPr>
          <w:rFonts w:ascii="Times New Roman" w:hAnsi="Times New Roman" w:cs="黑体;SimHei" w:eastAsia="黑体;SimHei"/>
          <w:b/>
          <w:sz w:val="30"/>
          <w:szCs w:val="30"/>
        </w:rPr>
        <w:t>第八条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sz w:val="30"/>
          <w:szCs w:val="30"/>
        </w:rPr>
        <w:t>到中西部和基层就业创业的毕业生服务期满报考我校硕士（博士）研究生时根据国家相关规定享受优惠政策。</w:t>
      </w:r>
    </w:p>
    <w:p>
      <w:pPr>
        <w:pStyle w:val="Normal"/>
        <w:widowControl w:val="false"/>
        <w:spacing w:lineRule="exact" w:line="600" w:before="0" w:after="0"/>
        <w:ind w:firstLine="602" w:right="0"/>
        <w:rPr/>
      </w:pPr>
      <w:r>
        <w:rPr>
          <w:rFonts w:ascii="Times New Roman" w:hAnsi="Times New Roman" w:cs="黑体;SimHei" w:eastAsia="黑体;SimHei"/>
          <w:b/>
          <w:sz w:val="30"/>
          <w:szCs w:val="30"/>
        </w:rPr>
        <w:t>第九条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sz w:val="30"/>
          <w:szCs w:val="30"/>
        </w:rPr>
        <w:t>服务期满考核合格且符合学校辅导员招考条件的到中西部和基层就业的毕业生，可参加学校选留辅导员的公开招考，同等条件下优先录用。</w:t>
      </w:r>
    </w:p>
    <w:p>
      <w:pPr>
        <w:pStyle w:val="Normal"/>
        <w:widowControl w:val="false"/>
        <w:spacing w:lineRule="exact" w:line="600" w:before="0" w:after="0"/>
        <w:jc w:val="center"/>
        <w:rPr>
          <w:rFonts w:ascii="Times New Roman" w:hAnsi="Times New Roman" w:eastAsia="黑体;SimHei" w:cs="Times New Roman"/>
          <w:color w:val="333333"/>
          <w:sz w:val="30"/>
          <w:szCs w:val="30"/>
        </w:rPr>
      </w:pPr>
      <w:r>
        <w:rPr>
          <w:rFonts w:eastAsia="黑体;SimHei" w:cs="Times New Roman" w:ascii="Times New Roman" w:hAnsi="Times New Roman"/>
          <w:color w:val="333333"/>
          <w:sz w:val="30"/>
          <w:szCs w:val="30"/>
        </w:rPr>
      </w:r>
    </w:p>
    <w:p>
      <w:pPr>
        <w:pStyle w:val="Normal"/>
        <w:widowControl w:val="false"/>
        <w:spacing w:lineRule="exact" w:line="560" w:before="0" w:after="0"/>
        <w:jc w:val="center"/>
        <w:rPr>
          <w:rFonts w:ascii="Times New Roman" w:hAnsi="Times New Roman" w:eastAsia="黑体;SimHei" w:cs="Times New Roman"/>
          <w:b/>
          <w:color w:val="333333"/>
          <w:sz w:val="30"/>
          <w:szCs w:val="30"/>
        </w:rPr>
      </w:pPr>
      <w:r>
        <w:rPr>
          <w:rFonts w:ascii="Times New Roman" w:hAnsi="Times New Roman" w:cs="黑体;SimHei" w:eastAsia="黑体;SimHei"/>
          <w:b/>
          <w:color w:val="333333"/>
          <w:sz w:val="30"/>
          <w:szCs w:val="30"/>
        </w:rPr>
        <w:t>第三章</w:t>
      </w:r>
      <w:r>
        <w:rPr>
          <w:rFonts w:ascii="Times New Roman" w:hAnsi="Times New Roman" w:cs="Times New Roman" w:eastAsia="Times New Roman"/>
          <w:b/>
          <w:color w:val="333333"/>
          <w:sz w:val="30"/>
          <w:szCs w:val="30"/>
        </w:rPr>
        <w:t xml:space="preserve">  </w:t>
      </w:r>
      <w:r>
        <w:rPr>
          <w:rFonts w:ascii="Times New Roman" w:hAnsi="Times New Roman" w:cs="黑体;SimHei" w:eastAsia="黑体;SimHei"/>
          <w:b/>
          <w:color w:val="333333"/>
          <w:sz w:val="30"/>
          <w:szCs w:val="30"/>
        </w:rPr>
        <w:t>组织保障</w:t>
      </w:r>
    </w:p>
    <w:p>
      <w:pPr>
        <w:pStyle w:val="Normal"/>
        <w:widowControl w:val="false"/>
        <w:spacing w:lineRule="exact" w:line="600" w:before="0" w:after="0"/>
        <w:ind w:firstLine="602" w:right="0"/>
        <w:rPr>
          <w:rFonts w:ascii="Times New Roman" w:hAnsi="Times New Roman" w:eastAsia="仿宋_GB2312;仿宋" w:cs="Times New Roman"/>
          <w:kern w:val="2"/>
          <w:sz w:val="30"/>
          <w:szCs w:val="30"/>
        </w:rPr>
      </w:pPr>
      <w:r>
        <w:rPr>
          <w:rFonts w:ascii="Times New Roman" w:hAnsi="Times New Roman" w:cs="黑体;SimHei" w:eastAsia="黑体;SimHei"/>
          <w:b/>
          <w:sz w:val="30"/>
          <w:szCs w:val="30"/>
        </w:rPr>
        <w:t>第十条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sz w:val="30"/>
          <w:szCs w:val="30"/>
        </w:rPr>
        <w:t>学校创新创业教育及就业工作领导小组负责推进引导和鼓励毕业生到中西部和基层就业创业工作。毕业生就业表彰奖励评审依照“学生申报、学院初审、学校复评”程序评定，符合条件的应届毕业生可于当年</w:t>
      </w:r>
      <w:r>
        <w:rPr>
          <w:rFonts w:eastAsia="仿宋_GB2312;仿宋" w:cs="Times New Roman" w:ascii="Times New Roman" w:hAnsi="Times New Roman"/>
          <w:sz w:val="30"/>
          <w:szCs w:val="30"/>
        </w:rPr>
        <w:t>12</w:t>
      </w:r>
      <w:r>
        <w:rPr>
          <w:rFonts w:ascii="Times New Roman" w:hAnsi="Times New Roman" w:cs="Times New Roman" w:eastAsia="仿宋_GB2312;仿宋"/>
          <w:sz w:val="30"/>
          <w:szCs w:val="30"/>
        </w:rPr>
        <w:t>月前向学院提出申请。</w:t>
      </w:r>
    </w:p>
    <w:p>
      <w:pPr>
        <w:pStyle w:val="Normal"/>
        <w:widowControl w:val="false"/>
        <w:spacing w:lineRule="exact" w:line="600" w:before="0" w:after="0"/>
        <w:ind w:firstLine="602" w:right="0"/>
        <w:rPr/>
      </w:pPr>
      <w:r>
        <w:rPr>
          <w:rFonts w:ascii="Times New Roman" w:hAnsi="Times New Roman" w:cs="黑体;SimHei" w:eastAsia="黑体;SimHei"/>
          <w:b/>
          <w:sz w:val="30"/>
          <w:szCs w:val="30"/>
        </w:rPr>
        <w:t>第十一条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sz w:val="30"/>
          <w:szCs w:val="30"/>
        </w:rPr>
        <w:t>学校加强对到中西部和基层就业毕业生的跟踪服务，建立定期联系回访制度，关心毕业生在基层工作、学习和生活情况，适时开展对口帮扶，定期给毕业生邮寄有关材料，提供就业指导和服务，服务期满后优先推荐就业。</w:t>
      </w:r>
    </w:p>
    <w:p>
      <w:pPr>
        <w:pStyle w:val="Normal"/>
        <w:widowControl w:val="false"/>
        <w:spacing w:lineRule="exact" w:line="600" w:before="0" w:after="0"/>
        <w:ind w:firstLine="602" w:right="0"/>
        <w:rPr/>
      </w:pPr>
      <w:r>
        <w:rPr>
          <w:rFonts w:ascii="Times New Roman" w:hAnsi="Times New Roman" w:cs="黑体;SimHei" w:eastAsia="黑体;SimHei"/>
          <w:b/>
          <w:sz w:val="30"/>
          <w:szCs w:val="30"/>
        </w:rPr>
        <w:t>第十二条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bCs/>
          <w:sz w:val="30"/>
          <w:szCs w:val="30"/>
        </w:rPr>
        <w:t>接受表彰的毕业生必须认真履行就业协议</w:t>
      </w:r>
      <w:r>
        <w:rPr>
          <w:rFonts w:ascii="Times New Roman" w:hAnsi="Times New Roman" w:cs="Times New Roman" w:eastAsia="仿宋_GB2312;仿宋"/>
          <w:sz w:val="30"/>
          <w:szCs w:val="30"/>
        </w:rPr>
        <w:t>，对未达到规定服务年限要求改派或擅自离岗的毕业生，学校有权收回表彰和奖励。</w:t>
      </w:r>
    </w:p>
    <w:p>
      <w:pPr>
        <w:pStyle w:val="Normal"/>
        <w:widowControl w:val="false"/>
        <w:spacing w:lineRule="exact" w:line="600" w:before="0" w:after="0"/>
        <w:ind w:firstLine="602" w:right="0"/>
        <w:rPr/>
      </w:pPr>
      <w:r>
        <w:rPr>
          <w:rFonts w:ascii="Times New Roman" w:hAnsi="Times New Roman" w:cs="黑体;SimHei" w:eastAsia="黑体;SimHei"/>
          <w:b/>
          <w:sz w:val="30"/>
          <w:szCs w:val="30"/>
        </w:rPr>
        <w:t>第十三条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sz w:val="30"/>
          <w:szCs w:val="30"/>
        </w:rPr>
        <w:t>对到中西部和基层就业的毕业生，学校根据本人意愿，户口和档案可转到工作地区，可迁回原籍，待服务期满后凭有关材料办理派遣手续；其他面向基层就业的毕业生，其户档处理按照签约单位要求执行或转回原籍。</w:t>
      </w:r>
    </w:p>
    <w:p>
      <w:pPr>
        <w:pStyle w:val="Normal"/>
        <w:widowControl w:val="false"/>
        <w:spacing w:lineRule="exact" w:line="600" w:before="0" w:after="0"/>
        <w:jc w:val="center"/>
        <w:rPr>
          <w:rFonts w:ascii="Times New Roman" w:hAnsi="Times New Roman" w:eastAsia="黑体;SimHei" w:cs="Times New Roman"/>
          <w:color w:val="333333"/>
          <w:sz w:val="30"/>
          <w:szCs w:val="30"/>
        </w:rPr>
      </w:pPr>
      <w:r>
        <w:rPr>
          <w:rFonts w:eastAsia="黑体;SimHei" w:cs="Times New Roman" w:ascii="Times New Roman" w:hAnsi="Times New Roman"/>
          <w:color w:val="333333"/>
          <w:sz w:val="30"/>
          <w:szCs w:val="30"/>
        </w:rPr>
      </w:r>
    </w:p>
    <w:p>
      <w:pPr>
        <w:pStyle w:val="Normal"/>
        <w:widowControl w:val="false"/>
        <w:spacing w:lineRule="exact" w:line="560" w:before="0" w:after="0"/>
        <w:jc w:val="center"/>
        <w:rPr>
          <w:rFonts w:ascii="Times New Roman" w:hAnsi="Times New Roman" w:eastAsia="黑体;SimHei" w:cs="Times New Roman"/>
          <w:b/>
          <w:color w:val="333333"/>
          <w:sz w:val="30"/>
          <w:szCs w:val="30"/>
        </w:rPr>
      </w:pPr>
      <w:r>
        <w:rPr>
          <w:rFonts w:ascii="Times New Roman" w:hAnsi="Times New Roman" w:cs="黑体;SimHei" w:eastAsia="黑体;SimHei"/>
          <w:b/>
          <w:color w:val="333333"/>
          <w:sz w:val="30"/>
          <w:szCs w:val="30"/>
        </w:rPr>
        <w:t>第四章</w:t>
      </w:r>
      <w:r>
        <w:rPr>
          <w:rFonts w:ascii="Times New Roman" w:hAnsi="Times New Roman" w:cs="Times New Roman" w:eastAsia="Times New Roman"/>
          <w:b/>
          <w:color w:val="333333"/>
          <w:sz w:val="30"/>
          <w:szCs w:val="30"/>
        </w:rPr>
        <w:t xml:space="preserve">  </w:t>
      </w:r>
      <w:r>
        <w:rPr>
          <w:rFonts w:ascii="Times New Roman" w:hAnsi="Times New Roman" w:cs="黑体;SimHei" w:eastAsia="黑体;SimHei"/>
          <w:b/>
          <w:color w:val="333333"/>
          <w:sz w:val="30"/>
          <w:szCs w:val="30"/>
        </w:rPr>
        <w:t>附</w:t>
      </w:r>
      <w:r>
        <w:rPr>
          <w:rFonts w:ascii="Times New Roman" w:hAnsi="Times New Roman" w:cs="Times New Roman" w:eastAsia="Times New Roman"/>
          <w:b/>
          <w:color w:val="333333"/>
          <w:sz w:val="30"/>
          <w:szCs w:val="30"/>
        </w:rPr>
        <w:t xml:space="preserve"> </w:t>
      </w:r>
      <w:r>
        <w:rPr>
          <w:rFonts w:ascii="Times New Roman" w:hAnsi="Times New Roman" w:cs="黑体;SimHei" w:eastAsia="黑体;SimHei"/>
          <w:b/>
          <w:color w:val="333333"/>
          <w:sz w:val="30"/>
          <w:szCs w:val="30"/>
        </w:rPr>
        <w:t>则</w:t>
      </w:r>
    </w:p>
    <w:p>
      <w:pPr>
        <w:pStyle w:val="Normal"/>
        <w:widowControl w:val="false"/>
        <w:spacing w:lineRule="exact" w:line="600" w:before="0" w:after="0"/>
        <w:ind w:firstLine="602" w:right="0"/>
        <w:rPr>
          <w:rFonts w:ascii="Times New Roman" w:hAnsi="Times New Roman" w:eastAsia="仿宋_GB2312;仿宋" w:cs="Times New Roman"/>
          <w:kern w:val="2"/>
          <w:sz w:val="30"/>
          <w:szCs w:val="30"/>
        </w:rPr>
      </w:pPr>
      <w:r>
        <w:rPr>
          <w:rFonts w:ascii="Times New Roman" w:hAnsi="Times New Roman" w:cs="黑体;SimHei" w:eastAsia="黑体;SimHei"/>
          <w:b/>
          <w:sz w:val="30"/>
          <w:szCs w:val="30"/>
        </w:rPr>
        <w:t>第十四条</w:t>
      </w:r>
      <w:r>
        <w:rPr>
          <w:rFonts w:ascii="Times New Roman" w:hAnsi="Times New Roman" w:cs="Times New Roman" w:eastAsia="Times New Roman"/>
          <w:b/>
          <w:sz w:val="30"/>
          <w:szCs w:val="30"/>
        </w:rPr>
        <w:t xml:space="preserve"> </w:t>
      </w:r>
      <w:r>
        <w:rPr>
          <w:rFonts w:ascii="Times New Roman" w:hAnsi="Times New Roman" w:cs="Times New Roman" w:eastAsia="仿宋_GB2312;仿宋"/>
          <w:sz w:val="30"/>
          <w:szCs w:val="30"/>
        </w:rPr>
        <w:t>本办法自印发之日起施行，由本科生院、研究生院和校团委组织实施并负责解释。《华中农业大学关于鼓励毕业生到西部和基层就业的实施办法》（校发</w:t>
      </w:r>
      <w:r>
        <w:rPr>
          <w:rFonts w:ascii="Times New Roman" w:hAnsi="Times New Roman" w:cs="仿宋" w:eastAsia="仿宋"/>
          <w:sz w:val="30"/>
          <w:szCs w:val="30"/>
        </w:rPr>
        <w:t>〔</w:t>
      </w:r>
      <w:r>
        <w:rPr>
          <w:rFonts w:eastAsia="仿宋_GB2312;仿宋" w:cs="Times New Roman" w:ascii="Times New Roman" w:hAnsi="Times New Roman"/>
          <w:sz w:val="30"/>
          <w:szCs w:val="30"/>
        </w:rPr>
        <w:t>2009</w:t>
      </w:r>
      <w:r>
        <w:rPr>
          <w:rFonts w:ascii="Times New Roman" w:hAnsi="Times New Roman" w:cs="仿宋" w:eastAsia="仿宋"/>
          <w:sz w:val="30"/>
          <w:szCs w:val="30"/>
        </w:rPr>
        <w:t>〕</w:t>
      </w:r>
      <w:r>
        <w:rPr>
          <w:rFonts w:eastAsia="仿宋_GB2312;仿宋" w:cs="Times New Roman" w:ascii="Times New Roman" w:hAnsi="Times New Roman"/>
          <w:sz w:val="30"/>
          <w:szCs w:val="30"/>
        </w:rPr>
        <w:t>44</w:t>
      </w:r>
      <w:r>
        <w:rPr>
          <w:rFonts w:ascii="Times New Roman" w:hAnsi="Times New Roman" w:cs="Times New Roman" w:eastAsia="仿宋_GB2312;仿宋"/>
          <w:sz w:val="30"/>
          <w:szCs w:val="30"/>
        </w:rPr>
        <w:t>号）同时废止。</w:t>
      </w:r>
    </w:p>
    <w:p>
      <w:pPr>
        <w:pStyle w:val="Normal"/>
        <w:spacing w:lineRule="exact" w:line="600" w:before="0" w:after="0"/>
        <w:rPr>
          <w:rFonts w:ascii="宋体;SimSun" w:hAnsi="宋体;SimSun" w:eastAsia="仿宋_GB2312;仿宋" w:cs="宋体;SimSun"/>
          <w:kern w:val="2"/>
          <w:sz w:val="32"/>
          <w:szCs w:val="32"/>
        </w:rPr>
      </w:pPr>
      <w:r>
        <w:rPr>
          <w:rFonts w:eastAsia="仿宋_GB2312;仿宋" w:cs="宋体;SimSun" w:ascii="宋体;SimSun" w:hAnsi="宋体;SimSun"/>
          <w:kern w:val="2"/>
          <w:sz w:val="32"/>
          <w:szCs w:val="32"/>
        </w:rPr>
      </w:r>
    </w:p>
    <w:p>
      <w:pPr>
        <w:pStyle w:val="Normal"/>
        <w:spacing w:lineRule="atLeast" w:line="220"/>
        <w:ind w:firstLine="643" w:right="0"/>
        <w:rPr>
          <w:rFonts w:ascii="仿宋_GB2312;仿宋" w:hAnsi="仿宋_GB2312;仿宋" w:eastAsia="仿宋_GB2312;仿宋" w:cs="宋体;SimSun"/>
          <w:b/>
          <w:sz w:val="32"/>
          <w:szCs w:val="32"/>
        </w:rPr>
      </w:pPr>
      <w:r>
        <w:rPr>
          <w:rFonts w:eastAsia="仿宋_GB2312;仿宋" w:cs="宋体;SimSun" w:ascii="仿宋_GB2312;仿宋" w:hAnsi="仿宋_GB2312;仿宋"/>
          <w:b/>
          <w:sz w:val="32"/>
          <w:szCs w:val="32"/>
        </w:rPr>
      </w:r>
    </w:p>
    <w:p>
      <w:pPr>
        <w:pStyle w:val="Normal"/>
        <w:spacing w:lineRule="exact" w:line="600" w:before="0" w:after="0"/>
        <w:jc w:val="center"/>
        <w:rPr/>
      </w:pPr>
      <w:r>
        <mc:AlternateContent>
          <mc:Choice Requires="wps">
            <w:drawing>
              <wp:anchor behindDoc="0" distT="0" distB="0" distL="114935" distR="114935" simplePos="0" locked="0" layoutInCell="1" allowOverlap="1" relativeHeight="2">
                <wp:simplePos x="0" y="0"/>
                <wp:positionH relativeFrom="column">
                  <wp:posOffset>-152400</wp:posOffset>
                </wp:positionH>
                <wp:positionV relativeFrom="paragraph">
                  <wp:posOffset>38100</wp:posOffset>
                </wp:positionV>
                <wp:extent cx="6057900" cy="0"/>
                <wp:effectExtent l="0" t="5080" r="0" b="5080"/>
                <wp:wrapNone/>
                <wp:docPr id="4" name=""/>
                <a:graphic xmlns:a="http://schemas.openxmlformats.org/drawingml/2006/main">
                  <a:graphicData uri="http://schemas.microsoft.com/office/word/2010/wordprocessingShape">
                    <wps:wsp>
                      <wps:cNvSpPr/>
                      <wps:spPr>
                        <a:xfrm>
                          <a:off x="0" y="0"/>
                          <a:ext cx="605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pt,3pt" to="464.95pt,3pt" stroked="t" o:allowincell="f" style="position:absolute">
                <v:stroke color="black" weight="9360" joinstyle="miter" endcap="flat"/>
                <v:fill o:detectmouseclick="t" on="false"/>
                <w10:wrap type="none"/>
              </v:line>
            </w:pict>
          </mc:Fallback>
        </mc:AlternateContent>
        <mc:AlternateContent>
          <mc:Choice Requires="wps">
            <w:drawing>
              <wp:anchor behindDoc="0" distT="0" distB="0" distL="114935" distR="114935" simplePos="0" locked="0" layoutInCell="1" allowOverlap="1" relativeHeight="3">
                <wp:simplePos x="0" y="0"/>
                <wp:positionH relativeFrom="column">
                  <wp:posOffset>-152400</wp:posOffset>
                </wp:positionH>
                <wp:positionV relativeFrom="paragraph">
                  <wp:posOffset>396240</wp:posOffset>
                </wp:positionV>
                <wp:extent cx="6057900" cy="0"/>
                <wp:effectExtent l="0" t="5080" r="0" b="5080"/>
                <wp:wrapNone/>
                <wp:docPr id="5" name=""/>
                <a:graphic xmlns:a="http://schemas.openxmlformats.org/drawingml/2006/main">
                  <a:graphicData uri="http://schemas.microsoft.com/office/word/2010/wordprocessingShape">
                    <wps:wsp>
                      <wps:cNvSpPr/>
                      <wps:spPr>
                        <a:xfrm>
                          <a:off x="0" y="0"/>
                          <a:ext cx="6058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pt,31.2pt" to="464.95pt,31.2pt" stroked="t" o:allowincell="f" style="position:absolute">
                <v:stroke color="black" weight="9360" joinstyle="miter" endcap="flat"/>
                <v:fill o:detectmouseclick="t" on="false"/>
                <w10:wrap type="none"/>
              </v:line>
            </w:pict>
          </mc:Fallback>
        </mc:AlternateContent>
      </w:r>
      <w:r>
        <w:rPr>
          <w:rFonts w:ascii="仿宋_GB2312;仿宋" w:hAnsi="仿宋_GB2312;仿宋" w:eastAsia="仿宋_GB2312;仿宋"/>
          <w:b/>
          <w:color w:val="000000"/>
          <w:sz w:val="28"/>
          <w:szCs w:val="28"/>
        </w:rPr>
        <w:t xml:space="preserve">华中农业大学办公室                            </w:t>
      </w:r>
      <w:r>
        <w:rPr>
          <w:rFonts w:eastAsia="仿宋_GB2312;仿宋" w:ascii="仿宋_GB2312;仿宋" w:hAnsi="仿宋_GB2312;仿宋"/>
          <w:b/>
          <w:color w:val="000000"/>
          <w:sz w:val="28"/>
          <w:szCs w:val="28"/>
        </w:rPr>
        <w:t>2024</w:t>
      </w:r>
      <w:r>
        <w:rPr>
          <w:rFonts w:ascii="仿宋_GB2312;仿宋" w:hAnsi="仿宋_GB2312;仿宋" w:eastAsia="仿宋_GB2312;仿宋"/>
          <w:b/>
          <w:color w:val="000000"/>
          <w:sz w:val="28"/>
          <w:szCs w:val="28"/>
        </w:rPr>
        <w:t>年</w:t>
      </w:r>
      <w:r>
        <w:rPr>
          <w:rFonts w:eastAsia="仿宋_GB2312;仿宋" w:ascii="仿宋_GB2312;仿宋" w:hAnsi="仿宋_GB2312;仿宋"/>
          <w:b/>
          <w:color w:val="000000"/>
          <w:sz w:val="28"/>
          <w:szCs w:val="28"/>
        </w:rPr>
        <w:t>1</w:t>
      </w:r>
      <w:r>
        <w:rPr>
          <w:rFonts w:ascii="仿宋_GB2312;仿宋" w:hAnsi="仿宋_GB2312;仿宋" w:eastAsia="仿宋_GB2312;仿宋"/>
          <w:b/>
          <w:color w:val="000000"/>
          <w:sz w:val="28"/>
          <w:szCs w:val="28"/>
        </w:rPr>
        <w:t>月</w:t>
      </w:r>
      <w:r>
        <w:rPr>
          <w:rFonts w:eastAsia="仿宋_GB2312;仿宋" w:ascii="仿宋_GB2312;仿宋" w:hAnsi="仿宋_GB2312;仿宋"/>
          <w:b/>
          <w:color w:val="000000"/>
          <w:sz w:val="28"/>
          <w:szCs w:val="28"/>
        </w:rPr>
        <w:t>4</w:t>
      </w:r>
      <w:r>
        <w:rPr>
          <w:rFonts w:ascii="仿宋_GB2312;仿宋" w:hAnsi="仿宋_GB2312;仿宋" w:eastAsia="仿宋_GB2312;仿宋"/>
          <w:b/>
          <w:color w:val="000000"/>
          <w:sz w:val="28"/>
          <w:szCs w:val="28"/>
        </w:rPr>
        <w:t>日印发</w:t>
      </w:r>
    </w:p>
    <w:sectPr>
      <w:type w:val="continuous"/>
      <w:pgSz w:w="11906" w:h="16838"/>
      <w:pgMar w:left="1418" w:right="1418" w:gutter="0" w:header="0" w:top="1588" w:footer="0" w:bottom="1418"/>
      <w:formProt w:val="tru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Tahoma">
    <w:charset w:val="00"/>
    <w:family w:val="swiss"/>
    <w:pitch w:val="variable"/>
  </w:font>
  <w:font w:name="Liberation Sans">
    <w:altName w:val="Arial"/>
    <w:charset w:val="86"/>
    <w:family w:val="swiss"/>
    <w:pitch w:val="variable"/>
  </w:font>
  <w:font w:name="方正小标宋简体">
    <w:altName w:val="Microsoft YaHei UI"/>
    <w:charset w:val="86"/>
    <w:family w:val="script"/>
    <w:pitch w:val="default"/>
  </w:font>
  <w:font w:name="仿宋_GB2312">
    <w:altName w:val="仿宋"/>
    <w:charset w:val="86"/>
    <w:family w:val="modern"/>
    <w:pitch w:val="default"/>
  </w:font>
  <w:font w:name="华文中宋">
    <w:charset w:val="86"/>
    <w:family w:val="auto"/>
    <w:pitch w:val="variable"/>
  </w:font>
  <w:font w:name="宋体">
    <w:altName w:val="SimSun"/>
    <w:charset w:val="86"/>
    <w:family w:val="auto"/>
    <w:pitch w:val="variable"/>
  </w:font>
</w:fonts>
</file>

<file path=word/settings.xml><?xml version="1.0" encoding="utf-8"?>
<w:settings xmlns:w="http://schemas.openxmlformats.org/wordprocessingml/2006/main">
  <w:zoom w:percent="100"/>
  <w:defaultTabStop w:val="420"/>
  <w:autoHyphenation w:val="true"/>
  <w:compat>
    <w:noLeading/>
    <w:doNotExpandShiftReturn/>
    <w:compatSetting w:name="compatibilityMode" w:uri="http://schemas.microsoft.com/office/word" w:val="11"/>
  </w:compat>
  <w:docVars>
    <w:docVar w:name="DocumentID" w:val="{141D9DC3-EC61-4268-B885-E2E633FB0151}"/>
    <w:docVar w:name="DocumentName" w:val="temp115580000"/>
    <w:docVar w:name="KGWebUrl" w:val="https://newoa.hzau.edu.cn:443/seeyon/officeservlet"/>
  </w:docVars>
  <w:documentProtection w:edit="forms" w:enforcement="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sz w:val="22"/>
      <w:szCs w:val="22"/>
      <w:lang w:val="en-US" w:eastAsia="zh-CN" w:bidi="ar-SA"/>
    </w:rPr>
  </w:style>
  <w:style w:type="character" w:styleId="Style14">
    <w:name w:val="默认段落字体"/>
    <w:qFormat/>
    <w:rPr/>
  </w:style>
  <w:style w:type="character" w:styleId="Style15">
    <w:name w:val="批注框文本 字符"/>
    <w:qFormat/>
    <w:rPr>
      <w:rFonts w:ascii="Tahoma" w:hAnsi="Tahoma" w:cs="Tahoma"/>
      <w:sz w:val="18"/>
      <w:szCs w:val="18"/>
    </w:rPr>
  </w:style>
  <w:style w:type="paragraph" w:styleId="Style16">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7">
    <w:name w:val="索引"/>
    <w:basedOn w:val="Normal"/>
    <w:qFormat/>
    <w:pPr>
      <w:suppressLineNumbers/>
    </w:pPr>
    <w:rPr>
      <w:rFonts w:cs="Lucida Sans"/>
    </w:rPr>
  </w:style>
  <w:style w:type="paragraph" w:styleId="Style18">
    <w:name w:val="批注框文本"/>
    <w:basedOn w:val="Normal"/>
    <w:qFormat/>
    <w:pPr>
      <w:spacing w:before="0" w:after="0"/>
    </w:pPr>
    <w:rPr>
      <w:sz w:val="18"/>
      <w:szCs w:val="18"/>
      <w:lang w:val="zh-CN"/>
    </w:rPr>
  </w:style>
  <w:style w:type="paragraph" w:styleId="Style19">
    <w:name w:val="修订"/>
    <w:qFormat/>
    <w:pPr>
      <w:widowControl/>
      <w:bidi w:val="0"/>
    </w:pPr>
    <w:rPr>
      <w:rFonts w:ascii="Tahoma" w:hAnsi="Tahoma" w:eastAsia="微软雅黑" w:cs="Tahoma"/>
      <w:color w:val="auto"/>
      <w:sz w:val="22"/>
      <w:szCs w:val="22"/>
      <w:lang w:val="en-US" w:eastAsia="zh-CN"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0</TotalTime>
  <Application>LibreOffice/24.2.4.2$Windows_X86_64 LibreOffice_project/51a6219feb6075d9a4c46691dcfe0cd9c4fff3c2</Application>
  <AppVersion>15.0000</AppVersion>
  <Pages>3</Pages>
  <Words>1650</Words>
  <Characters>1701</Characters>
  <CharactersWithSpaces>1753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2024-01-09T09:13:00Z</dcterms:created>
  <dc:creator>邓凡</dc:creator>
  <dc:description/>
  <cp:keywords/>
  <dc:language>zh-CN</dc:language>
  <cp:lastModifiedBy>王凤武</cp:lastModifiedBy>
  <dcterms:modified xsi:type="dcterms:W3CDTF">2024-01-09T09:13:00Z</dcterms:modified>
  <cp:revision>2</cp:revision>
  <dc:subject/>
  <dc:title/>
</cp:coreProperties>
</file>