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20"/>
        <w:jc w:val="center"/>
        <w:rPr>
          <w:rFonts w:ascii="仿宋_GB2312;微软雅黑" w:hAnsi="仿宋_GB2312;微软雅黑" w:cs="宋体;SimSun"/>
          <w:b/>
          <w:color w:val="000000"/>
          <w:kern w:val="0"/>
        </w:rPr>
      </w:pPr>
      <w:r>
        <w:rPr>
          <w:rFonts w:cs="宋体;SimSun" w:ascii="仿宋_GB2312;微软雅黑" w:hAnsi="仿宋_GB2312;微软雅黑"/>
          <w:b/>
          <w:color w:val="000000"/>
          <w:kern w:val="0"/>
        </w:rPr>
      </w:r>
    </w:p>
    <w:p>
      <w:pPr>
        <w:pStyle w:val="Normal"/>
        <w:spacing w:lineRule="exact" w:line="520"/>
        <w:jc w:val="center"/>
        <w:rPr>
          <w:rFonts w:ascii="仿宋_GB2312;微软雅黑" w:hAnsi="仿宋_GB2312;微软雅黑" w:cs="宋体;SimSun"/>
          <w:b/>
          <w:color w:val="000000"/>
          <w:kern w:val="0"/>
        </w:rPr>
      </w:pPr>
      <w:r>
        <w:rPr>
          <w:rFonts w:cs="宋体;SimSun" w:ascii="仿宋_GB2312;微软雅黑" w:hAnsi="仿宋_GB2312;微软雅黑"/>
          <w:b/>
          <w:color w:val="000000"/>
          <w:kern w:val="0"/>
        </w:rPr>
      </w:r>
    </w:p>
    <w:p>
      <w:pPr>
        <w:pStyle w:val="Normal"/>
        <w:spacing w:lineRule="exact" w:line="520"/>
        <w:jc w:val="center"/>
        <w:rPr>
          <w:rFonts w:ascii="仿宋_GB2312;微软雅黑" w:hAnsi="仿宋_GB2312;微软雅黑" w:cs="宋体;SimSun"/>
          <w:b/>
          <w:color w:val="000000"/>
          <w:kern w:val="0"/>
        </w:rPr>
      </w:pPr>
      <w:r>
        <w:rPr>
          <w:rFonts w:cs="宋体;SimSun" w:ascii="仿宋_GB2312;微软雅黑" w:hAnsi="仿宋_GB2312;微软雅黑"/>
          <w:b/>
          <w:color w:val="000000"/>
          <w:kern w:val="0"/>
        </w:rPr>
      </w:r>
    </w:p>
    <w:p>
      <w:pPr>
        <w:pStyle w:val="Normal"/>
        <w:spacing w:lineRule="exact" w:line="520"/>
        <w:jc w:val="center"/>
        <w:rPr>
          <w:rFonts w:ascii="仿宋_GB2312;微软雅黑" w:hAnsi="仿宋_GB2312;微软雅黑" w:cs="宋体;SimSun"/>
          <w:b/>
          <w:color w:val="000000"/>
          <w:kern w:val="0"/>
        </w:rPr>
      </w:pPr>
      <w:r>
        <w:rPr>
          <w:rFonts w:cs="宋体;SimSun" w:ascii="仿宋_GB2312;微软雅黑" w:hAnsi="仿宋_GB2312;微软雅黑"/>
          <w:b/>
          <w:color w:val="000000"/>
          <w:kern w:val="0"/>
        </w:rPr>
      </w:r>
    </w:p>
    <w:p>
      <w:pPr>
        <w:pStyle w:val="Normal"/>
        <w:spacing w:lineRule="exact" w:line="520"/>
        <w:jc w:val="center"/>
        <w:rPr>
          <w:rFonts w:ascii="仿宋_GB2312;微软雅黑" w:hAnsi="仿宋_GB2312;微软雅黑" w:cs="宋体;SimSun"/>
          <w:b/>
          <w:color w:val="000000"/>
          <w:kern w:val="0"/>
        </w:rPr>
      </w:pPr>
      <w:r>
        <w:rPr>
          <w:rFonts w:cs="宋体;SimSun" w:ascii="仿宋_GB2312;微软雅黑" w:hAnsi="仿宋_GB2312;微软雅黑"/>
          <w:b/>
          <w:color w:val="000000"/>
          <w:kern w:val="0"/>
        </w:rPr>
      </w:r>
    </w:p>
    <w:p>
      <w:pPr>
        <w:pStyle w:val="Normal"/>
        <w:spacing w:lineRule="exact" w:line="520"/>
        <w:jc w:val="center"/>
        <w:rPr>
          <w:rFonts w:ascii="仿宋_GB2312;微软雅黑" w:hAnsi="仿宋_GB2312;微软雅黑" w:cs="宋体;SimSun"/>
          <w:b/>
          <w:color w:val="000000"/>
          <w:kern w:val="0"/>
        </w:rPr>
      </w:pPr>
      <w:r>
        <w:rPr>
          <w:rFonts w:cs="宋体;SimSun" w:ascii="仿宋_GB2312;微软雅黑" w:hAnsi="仿宋_GB2312;微软雅黑"/>
          <w:b/>
          <w:color w:val="000000"/>
          <w:kern w:val="0"/>
        </w:rPr>
      </w:r>
    </w:p>
    <w:p>
      <w:pPr>
        <w:pStyle w:val="Normal"/>
        <w:spacing w:lineRule="exact" w:line="600"/>
        <w:jc w:val="center"/>
        <w:rPr>
          <w:rFonts w:ascii="仿宋_GB2312;微软雅黑" w:hAnsi="仿宋_GB2312;微软雅黑" w:cs="宋体;SimSun"/>
          <w:b/>
          <w:color w:val="000000"/>
          <w:kern w:val="0"/>
        </w:rPr>
      </w:pPr>
      <w:r>
        <w:rPr>
          <w:rFonts w:ascii="仿宋_GB2312;微软雅黑" w:hAnsi="仿宋_GB2312;微软雅黑" w:cs="宋体;SimSun"/>
          <w:b/>
          <w:color w:val="000000"/>
          <w:kern w:val="0"/>
        </w:rPr>
        <w:t>校发〔</w:t>
      </w:r>
      <w:bookmarkStart w:id="0" w:name="年度"/>
      <w:bookmarkEnd w:id="0"/>
      <w:r>
        <w:rPr>
          <w:rFonts w:cs="宋体;SimSun" w:ascii="仿宋_GB2312;微软雅黑" w:hAnsi="仿宋_GB2312;微软雅黑"/>
          <w:b/>
          <w:color w:val="000000"/>
          <w:kern w:val="0"/>
        </w:rPr>
        <w:t>2019</w:t>
      </w:r>
      <w:r>
        <w:rPr>
          <w:rFonts w:ascii="仿宋_GB2312;微软雅黑" w:hAnsi="仿宋_GB2312;微软雅黑" w:cs="宋体;SimSun"/>
          <w:b/>
          <w:color w:val="000000"/>
          <w:kern w:val="0"/>
        </w:rPr>
        <w:t>〕</w:t>
      </w:r>
      <w:bookmarkStart w:id="1" w:name="字号"/>
      <w:bookmarkEnd w:id="1"/>
      <w:r>
        <w:rPr>
          <w:rFonts w:cs="宋体;SimSun" w:ascii="仿宋_GB2312;微软雅黑" w:hAnsi="仿宋_GB2312;微软雅黑"/>
          <w:b/>
          <w:color w:val="000000"/>
          <w:kern w:val="0"/>
        </w:rPr>
        <w:t>105</w:t>
      </w:r>
      <w:r>
        <w:rPr>
          <w:rFonts w:ascii="仿宋_GB2312;微软雅黑" w:hAnsi="仿宋_GB2312;微软雅黑" w:cs="宋体;SimSun"/>
          <w:b/>
          <w:color w:val="000000"/>
          <w:kern w:val="0"/>
        </w:rPr>
        <w:t>号</w:t>
      </w:r>
    </w:p>
    <w:p>
      <w:pPr>
        <w:pStyle w:val="Normal"/>
        <w:spacing w:lineRule="exact" w:line="600"/>
        <w:ind w:hanging="86" w:start="86" w:end="0"/>
        <w:rPr>
          <w:rFonts w:ascii="仿宋_GB2312;微软雅黑" w:hAnsi="仿宋_GB2312;微软雅黑" w:cs="宋体;SimSun"/>
          <w:b/>
          <w:color w:val="000000"/>
          <w:kern w:val="0"/>
        </w:rPr>
      </w:pPr>
      <w:r>
        <w:rPr>
          <w:rFonts w:cs="宋体;SimSun" w:ascii="仿宋_GB2312;微软雅黑" w:hAnsi="仿宋_GB2312;微软雅黑"/>
          <w:b/>
          <w:color w:val="000000"/>
          <w:kern w:val="0"/>
        </w:rPr>
      </w:r>
    </w:p>
    <w:p>
      <w:pPr>
        <w:pStyle w:val="Normal"/>
        <w:spacing w:lineRule="exact" w:line="600"/>
        <w:ind w:hanging="86" w:start="86" w:end="0"/>
        <w:rPr>
          <w:rFonts w:ascii="仿宋_GB2312;微软雅黑" w:hAnsi="仿宋_GB2312;微软雅黑"/>
          <w:b/>
          <w:color w:val="000000"/>
        </w:rPr>
      </w:pPr>
      <w:r>
        <w:rPr>
          <w:rFonts w:ascii="仿宋_GB2312;微软雅黑" w:hAnsi="仿宋_GB2312;微软雅黑"/>
          <w:b/>
          <w:color w:val="000000"/>
        </w:rPr>
      </w:r>
    </w:p>
    <w:p>
      <w:pPr>
        <w:pStyle w:val="Normal"/>
        <w:widowControl/>
        <w:spacing w:lineRule="exact" w:line="600"/>
        <w:jc w:val="center"/>
        <w:rPr>
          <w:rFonts w:ascii="方正小标宋简体;微软雅黑" w:hAnsi="方正小标宋简体;微软雅黑" w:eastAsia="方正小标宋简体;微软雅黑" w:cs="宋体;SimSun"/>
          <w:b/>
          <w:color w:val="000000"/>
          <w:kern w:val="0"/>
          <w:sz w:val="44"/>
          <w:szCs w:val="44"/>
        </w:rPr>
      </w:pPr>
      <w:bookmarkStart w:id="2" w:name="正文"/>
      <w:bookmarkEnd w:id="2"/>
      <w:r>
        <w:rPr>
          <w:rFonts w:ascii="方正小标宋简体;微软雅黑" w:hAnsi="方正小标宋简体;微软雅黑" w:cs="宋体;SimSun" w:eastAsia="方正小标宋简体;微软雅黑"/>
          <w:b/>
          <w:color w:val="000000"/>
          <w:kern w:val="0"/>
          <w:sz w:val="44"/>
          <w:szCs w:val="44"/>
        </w:rPr>
        <w:t>关于印发《华中农业大学</w:t>
      </w:r>
    </w:p>
    <w:p>
      <w:pPr>
        <w:pStyle w:val="Normal"/>
        <w:widowControl/>
        <w:spacing w:lineRule="exact" w:line="600"/>
        <w:jc w:val="center"/>
        <w:rPr>
          <w:rFonts w:ascii="方正小标宋简体;微软雅黑" w:hAnsi="方正小标宋简体;微软雅黑" w:eastAsia="方正小标宋简体;微软雅黑" w:cs="宋体;SimSun"/>
          <w:b/>
          <w:color w:val="000000"/>
          <w:kern w:val="0"/>
          <w:sz w:val="44"/>
          <w:szCs w:val="44"/>
        </w:rPr>
      </w:pPr>
      <w:r>
        <w:rPr>
          <w:rFonts w:ascii="方正小标宋简体;微软雅黑" w:hAnsi="方正小标宋简体;微软雅黑" w:cs="宋体;SimSun" w:eastAsia="方正小标宋简体;微软雅黑"/>
          <w:b/>
          <w:color w:val="000000"/>
          <w:kern w:val="0"/>
          <w:sz w:val="44"/>
          <w:szCs w:val="44"/>
        </w:rPr>
        <w:t>勤工助学管理实施办法》的通知</w:t>
      </w:r>
    </w:p>
    <w:p>
      <w:pPr>
        <w:pStyle w:val="Normal"/>
        <w:widowControl/>
        <w:spacing w:lineRule="exact" w:line="600"/>
        <w:jc w:val="start"/>
        <w:rPr>
          <w:rFonts w:ascii="仿宋_GB2312;微软雅黑" w:hAnsi="仿宋_GB2312;微软雅黑" w:eastAsia="方正小标宋简体;微软雅黑" w:cs="宋体;SimSun"/>
          <w:b/>
          <w:color w:val="000000"/>
          <w:kern w:val="0"/>
          <w:sz w:val="44"/>
          <w:szCs w:val="44"/>
        </w:rPr>
      </w:pPr>
      <w:r>
        <w:rPr>
          <w:rFonts w:eastAsia="方正小标宋简体;微软雅黑" w:cs="宋体;SimSun" w:ascii="仿宋_GB2312;微软雅黑" w:hAnsi="仿宋_GB2312;微软雅黑"/>
          <w:b/>
          <w:color w:val="000000"/>
          <w:kern w:val="0"/>
          <w:sz w:val="44"/>
          <w:szCs w:val="44"/>
        </w:rPr>
      </w:r>
    </w:p>
    <w:p>
      <w:pPr>
        <w:pStyle w:val="Normal"/>
        <w:widowControl/>
        <w:spacing w:lineRule="exact" w:line="600"/>
        <w:jc w:val="start"/>
        <w:rPr>
          <w:rFonts w:ascii="仿宋_GB2312;微软雅黑" w:hAnsi="仿宋_GB2312;微软雅黑" w:cs="宋体;SimSun"/>
          <w:b/>
          <w:color w:val="000000"/>
          <w:kern w:val="0"/>
          <w:sz w:val="36"/>
          <w:szCs w:val="36"/>
        </w:rPr>
      </w:pPr>
      <w:r>
        <w:rPr>
          <w:rFonts w:ascii="仿宋_GB2312;微软雅黑" w:hAnsi="仿宋_GB2312;微软雅黑" w:cs="宋体;SimSun"/>
          <w:b/>
          <w:color w:val="000000"/>
          <w:kern w:val="0"/>
          <w:sz w:val="36"/>
          <w:szCs w:val="36"/>
        </w:rPr>
        <w:t>校属各单位：</w:t>
      </w:r>
    </w:p>
    <w:p>
      <w:pPr>
        <w:pStyle w:val="Normal"/>
        <w:widowControl/>
        <w:spacing w:lineRule="exact" w:line="600"/>
        <w:ind w:firstLine="720" w:end="0"/>
        <w:jc w:val="start"/>
        <w:rPr>
          <w:rFonts w:ascii="仿宋_GB2312;微软雅黑" w:hAnsi="仿宋_GB2312;微软雅黑" w:cs="宋体;SimSun"/>
          <w:b/>
          <w:color w:val="000000"/>
          <w:kern w:val="0"/>
          <w:sz w:val="36"/>
          <w:szCs w:val="36"/>
        </w:rPr>
      </w:pPr>
      <w:r>
        <w:rPr>
          <w:rFonts w:ascii="仿宋_GB2312;微软雅黑" w:hAnsi="仿宋_GB2312;微软雅黑" w:cs="宋体;SimSun"/>
          <w:b/>
          <w:color w:val="000000"/>
          <w:kern w:val="0"/>
          <w:sz w:val="36"/>
          <w:szCs w:val="36"/>
        </w:rPr>
        <w:t>《华中农业大学勤工助学管理实施办法》，经</w:t>
      </w:r>
      <w:r>
        <w:rPr>
          <w:rFonts w:cs="宋体;SimSun" w:ascii="仿宋_GB2312;微软雅黑" w:hAnsi="仿宋_GB2312;微软雅黑"/>
          <w:b/>
          <w:color w:val="000000"/>
          <w:kern w:val="0"/>
          <w:sz w:val="36"/>
          <w:szCs w:val="36"/>
        </w:rPr>
        <w:t>2019</w:t>
      </w:r>
      <w:r>
        <w:rPr>
          <w:rFonts w:ascii="仿宋_GB2312;微软雅黑" w:hAnsi="仿宋_GB2312;微软雅黑" w:cs="宋体;SimSun"/>
          <w:b/>
          <w:color w:val="000000"/>
          <w:kern w:val="0"/>
          <w:sz w:val="36"/>
          <w:szCs w:val="36"/>
        </w:rPr>
        <w:t>年第</w:t>
      </w:r>
      <w:r>
        <w:rPr>
          <w:rFonts w:cs="宋体;SimSun" w:ascii="仿宋_GB2312;微软雅黑" w:hAnsi="仿宋_GB2312;微软雅黑"/>
          <w:b/>
          <w:color w:val="000000"/>
          <w:kern w:val="0"/>
          <w:sz w:val="36"/>
          <w:szCs w:val="36"/>
        </w:rPr>
        <w:t>16</w:t>
      </w:r>
      <w:r>
        <w:rPr>
          <w:rFonts w:ascii="仿宋_GB2312;微软雅黑" w:hAnsi="仿宋_GB2312;微软雅黑" w:cs="宋体;SimSun"/>
          <w:b/>
          <w:color w:val="000000"/>
          <w:kern w:val="0"/>
          <w:sz w:val="36"/>
          <w:szCs w:val="36"/>
        </w:rPr>
        <w:t>次校长办公会研究通过，现予印发，请遵照执行。</w:t>
      </w:r>
    </w:p>
    <w:p>
      <w:pPr>
        <w:pStyle w:val="Normal"/>
        <w:widowControl/>
        <w:spacing w:lineRule="exact" w:line="600"/>
        <w:ind w:firstLine="640" w:end="0"/>
        <w:jc w:val="start"/>
        <w:rPr>
          <w:rFonts w:ascii="仿宋_GB2312;微软雅黑" w:hAnsi="仿宋_GB2312;微软雅黑" w:cs="宋体;SimSun"/>
          <w:b/>
          <w:color w:val="000000"/>
          <w:kern w:val="0"/>
          <w:sz w:val="36"/>
          <w:szCs w:val="36"/>
        </w:rPr>
      </w:pPr>
      <w:r>
        <w:rPr>
          <w:rFonts w:cs="宋体;SimSun" w:ascii="仿宋_GB2312;微软雅黑" w:hAnsi="仿宋_GB2312;微软雅黑"/>
          <w:b/>
          <w:color w:val="000000"/>
          <w:kern w:val="0"/>
          <w:sz w:val="36"/>
          <w:szCs w:val="36"/>
        </w:rPr>
      </w:r>
    </w:p>
    <w:p>
      <w:pPr>
        <w:pStyle w:val="Normal"/>
        <w:widowControl/>
        <w:spacing w:lineRule="exact" w:line="600"/>
        <w:ind w:firstLine="645" w:end="0"/>
        <w:jc w:val="start"/>
        <w:rPr>
          <w:rFonts w:ascii="仿宋_GB2312;微软雅黑" w:hAnsi="仿宋_GB2312;微软雅黑" w:cs="宋体;SimSun"/>
          <w:b/>
          <w:color w:val="000000"/>
          <w:kern w:val="0"/>
          <w:sz w:val="36"/>
          <w:szCs w:val="36"/>
        </w:rPr>
      </w:pPr>
      <w:r>
        <w:rPr>
          <w:rFonts w:ascii="仿宋_GB2312;微软雅黑" w:hAnsi="仿宋_GB2312;微软雅黑" w:cs="宋体;SimSun"/>
          <w:b/>
          <w:color w:val="000000"/>
          <w:kern w:val="0"/>
          <w:sz w:val="36"/>
          <w:szCs w:val="36"/>
        </w:rPr>
        <w:t>附件：华中农业大学勤工助学管理实施办法</w:t>
      </w:r>
    </w:p>
    <w:p>
      <w:pPr>
        <w:pStyle w:val="Normal"/>
        <w:widowControl/>
        <w:spacing w:lineRule="exact" w:line="600"/>
        <w:ind w:firstLine="645" w:end="0"/>
        <w:jc w:val="start"/>
        <w:rPr>
          <w:rFonts w:ascii="仿宋_GB2312;微软雅黑" w:hAnsi="仿宋_GB2312;微软雅黑" w:cs="宋体;SimSun"/>
          <w:b/>
          <w:color w:val="000000"/>
          <w:kern w:val="0"/>
          <w:sz w:val="36"/>
          <w:szCs w:val="36"/>
        </w:rPr>
      </w:pPr>
      <w:r>
        <w:rPr>
          <w:rFonts w:cs="宋体;SimSun" w:ascii="仿宋_GB2312;微软雅黑" w:hAnsi="仿宋_GB2312;微软雅黑"/>
          <w:b/>
          <w:color w:val="000000"/>
          <w:kern w:val="0"/>
          <w:sz w:val="36"/>
          <w:szCs w:val="36"/>
        </w:rPr>
      </w:r>
    </w:p>
    <w:p>
      <w:pPr>
        <w:pStyle w:val="Normal"/>
        <w:widowControl/>
        <w:spacing w:lineRule="exact" w:line="600"/>
        <w:ind w:firstLine="645" w:end="0"/>
        <w:jc w:val="end"/>
        <w:rPr>
          <w:rFonts w:ascii="仿宋_GB2312;微软雅黑" w:hAnsi="仿宋_GB2312;微软雅黑" w:cs="宋体;SimSun"/>
          <w:b/>
          <w:color w:val="000000"/>
          <w:kern w:val="0"/>
        </w:rPr>
      </w:pPr>
      <w:r>
        <w:rPr>
          <w:rFonts w:cs="宋体;SimSun" w:ascii="仿宋_GB2312;微软雅黑" w:hAnsi="仿宋_GB2312;微软雅黑"/>
          <w:b/>
          <w:color w:val="000000"/>
          <w:kern w:val="0"/>
        </w:rPr>
      </w:r>
    </w:p>
    <w:p>
      <w:pPr>
        <w:pStyle w:val="Normal"/>
        <w:widowControl/>
        <w:spacing w:lineRule="exact" w:line="600"/>
        <w:ind w:firstLine="5270" w:end="0"/>
        <w:rPr>
          <w:rFonts w:ascii="仿宋_GB2312;微软雅黑" w:hAnsi="仿宋_GB2312;微软雅黑" w:cs="宋体;SimSun"/>
          <w:b/>
          <w:color w:val="000000"/>
          <w:kern w:val="0"/>
        </w:rPr>
      </w:pPr>
      <w:r>
        <w:rPr>
          <w:rFonts w:ascii="仿宋_GB2312;微软雅黑" w:hAnsi="仿宋_GB2312;微软雅黑" w:cs="宋体;SimSun"/>
          <w:b/>
          <w:color w:val="000000"/>
          <w:kern w:val="0"/>
        </w:rPr>
        <w:t>华中农业大学</w:t>
      </w:r>
    </w:p>
    <w:p>
      <w:pPr>
        <w:pStyle w:val="Normal"/>
        <w:widowControl/>
        <w:spacing w:lineRule="exact" w:line="600"/>
        <w:ind w:firstLine="4947" w:end="0"/>
        <w:rPr>
          <w:rFonts w:ascii="仿宋_GB2312;微软雅黑" w:hAnsi="仿宋_GB2312;微软雅黑" w:cs="宋体;SimSun"/>
          <w:b/>
          <w:color w:val="000000"/>
          <w:kern w:val="0"/>
        </w:rPr>
      </w:pPr>
      <w:r>
        <w:rPr>
          <w:rFonts w:cs="宋体;SimSun" w:ascii="仿宋_GB2312;微软雅黑" w:hAnsi="仿宋_GB2312;微软雅黑"/>
          <w:b/>
          <w:color w:val="000000"/>
          <w:kern w:val="0"/>
        </w:rPr>
        <w:t>2019</w:t>
      </w:r>
      <w:r>
        <w:rPr>
          <w:rFonts w:ascii="仿宋_GB2312;微软雅黑" w:hAnsi="仿宋_GB2312;微软雅黑" w:cs="宋体;SimSun"/>
          <w:b/>
          <w:color w:val="000000"/>
          <w:kern w:val="0"/>
        </w:rPr>
        <w:t>年</w:t>
      </w:r>
      <w:r>
        <w:rPr>
          <w:rFonts w:cs="宋体;SimSun" w:ascii="仿宋_GB2312;微软雅黑" w:hAnsi="仿宋_GB2312;微软雅黑"/>
          <w:b/>
          <w:color w:val="000000"/>
          <w:kern w:val="0"/>
        </w:rPr>
        <w:t>6</w:t>
      </w:r>
      <w:r>
        <w:rPr>
          <w:rFonts w:ascii="仿宋_GB2312;微软雅黑" w:hAnsi="仿宋_GB2312;微软雅黑" w:cs="宋体;SimSun"/>
          <w:b/>
          <w:color w:val="000000"/>
          <w:kern w:val="0"/>
        </w:rPr>
        <w:t>月</w:t>
      </w:r>
      <w:r>
        <w:rPr>
          <w:rFonts w:cs="宋体;SimSun" w:ascii="仿宋_GB2312;微软雅黑" w:hAnsi="仿宋_GB2312;微软雅黑"/>
          <w:b/>
          <w:color w:val="000000"/>
          <w:kern w:val="0"/>
        </w:rPr>
        <w:t>28</w:t>
      </w:r>
      <w:r>
        <w:rPr>
          <w:rFonts w:ascii="仿宋_GB2312;微软雅黑" w:hAnsi="仿宋_GB2312;微软雅黑" w:cs="宋体;SimSun"/>
          <w:b/>
          <w:color w:val="000000"/>
          <w:kern w:val="0"/>
        </w:rPr>
        <w:t>日</w:t>
      </w:r>
    </w:p>
    <w:p>
      <w:pPr>
        <w:pStyle w:val="Normal"/>
        <w:widowControl/>
        <w:spacing w:lineRule="exact" w:line="600"/>
        <w:ind w:firstLine="4320" w:end="0"/>
        <w:jc w:val="center"/>
        <w:rPr>
          <w:rFonts w:ascii="仿宋_GB2312;微软雅黑" w:hAnsi="仿宋_GB2312;微软雅黑" w:cs="宋体;SimSun"/>
          <w:b/>
          <w:color w:val="000000"/>
          <w:kern w:val="0"/>
        </w:rPr>
      </w:pPr>
      <w:r>
        <w:rPr>
          <w:rFonts w:cs="宋体;SimSun" w:ascii="仿宋_GB2312;微软雅黑" w:hAnsi="仿宋_GB2312;微软雅黑"/>
          <w:b/>
          <w:color w:val="000000"/>
          <w:kern w:val="0"/>
        </w:rPr>
      </w:r>
    </w:p>
    <w:p>
      <w:pPr>
        <w:pStyle w:val="Normal"/>
        <w:widowControl/>
        <w:spacing w:lineRule="exact" w:line="600"/>
        <w:rPr>
          <w:rFonts w:ascii="黑体;SimHei" w:hAnsi="黑体;SimHei" w:eastAsia="黑体;SimHei" w:cs="宋体;SimSun"/>
          <w:b/>
          <w:color w:val="000000"/>
          <w:kern w:val="0"/>
        </w:rPr>
      </w:pPr>
      <w:r>
        <w:rPr>
          <w:rFonts w:eastAsia="黑体;SimHei" w:cs="宋体;SimSun" w:ascii="黑体;SimHei" w:hAnsi="黑体;SimHei"/>
          <w:b/>
          <w:color w:val="000000"/>
          <w:kern w:val="0"/>
        </w:rPr>
      </w:r>
    </w:p>
    <w:p>
      <w:pPr>
        <w:pStyle w:val="Normal"/>
        <w:widowControl/>
        <w:spacing w:lineRule="exact" w:line="600"/>
        <w:rPr>
          <w:rFonts w:ascii="黑体;SimHei" w:hAnsi="黑体;SimHei" w:eastAsia="黑体;SimHei" w:cs="宋体;SimSun"/>
          <w:b/>
          <w:color w:val="000000"/>
          <w:kern w:val="0"/>
        </w:rPr>
      </w:pPr>
      <w:r>
        <w:rPr>
          <w:rFonts w:ascii="黑体;SimHei" w:hAnsi="黑体;SimHei" w:cs="宋体;SimSun" w:eastAsia="黑体;SimHei"/>
          <w:b/>
          <w:color w:val="000000"/>
          <w:kern w:val="0"/>
        </w:rPr>
        <w:t>附件</w:t>
      </w:r>
    </w:p>
    <w:p>
      <w:pPr>
        <w:pStyle w:val="Normal"/>
        <w:widowControl/>
        <w:spacing w:lineRule="exact" w:line="600"/>
        <w:jc w:val="center"/>
        <w:rPr>
          <w:rFonts w:ascii="方正小标宋简体;微软雅黑" w:hAnsi="方正小标宋简体;微软雅黑" w:eastAsia="方正小标宋简体;微软雅黑" w:cs="黑体;SimHei"/>
          <w:b/>
          <w:color w:val="000000"/>
          <w:kern w:val="0"/>
        </w:rPr>
      </w:pPr>
      <w:r>
        <w:rPr>
          <w:rFonts w:eastAsia="方正小标宋简体;微软雅黑" w:cs="黑体;SimHei" w:ascii="方正小标宋简体;微软雅黑" w:hAnsi="方正小标宋简体;微软雅黑"/>
          <w:b/>
          <w:color w:val="000000"/>
          <w:kern w:val="0"/>
        </w:rPr>
      </w:r>
    </w:p>
    <w:p>
      <w:pPr>
        <w:pStyle w:val="Normal"/>
        <w:widowControl/>
        <w:spacing w:lineRule="exact" w:line="600"/>
        <w:jc w:val="center"/>
        <w:rPr>
          <w:rFonts w:ascii="方正小标宋简体;微软雅黑" w:hAnsi="方正小标宋简体;微软雅黑" w:eastAsia="方正小标宋简体;微软雅黑" w:cs="黑体;SimHei"/>
          <w:b/>
          <w:color w:val="000000"/>
          <w:sz w:val="36"/>
          <w:szCs w:val="36"/>
        </w:rPr>
      </w:pPr>
      <w:r>
        <w:rPr>
          <w:rFonts w:ascii="方正小标宋简体;微软雅黑" w:hAnsi="方正小标宋简体;微软雅黑" w:cs="黑体;SimHei" w:eastAsia="方正小标宋简体;微软雅黑"/>
          <w:b/>
          <w:color w:val="000000"/>
          <w:sz w:val="36"/>
          <w:szCs w:val="36"/>
        </w:rPr>
        <w:t>华中农业大学勤工助学管理实施办法</w:t>
      </w:r>
    </w:p>
    <w:p>
      <w:pPr>
        <w:pStyle w:val="Style17"/>
        <w:spacing w:lineRule="exact" w:line="600" w:before="0" w:after="0"/>
        <w:jc w:val="center"/>
        <w:rPr>
          <w:rStyle w:val="Strong"/>
          <w:rFonts w:ascii="黑体;SimHei" w:hAnsi="黑体;SimHei" w:eastAsia="黑体;SimHei" w:cs="黑体;SimHei"/>
          <w:color w:val="000000"/>
          <w:sz w:val="32"/>
          <w:szCs w:val="32"/>
        </w:rPr>
      </w:pPr>
      <w:r>
        <w:rPr>
          <w:rFonts w:eastAsia="方正小标宋简体;微软雅黑" w:cs="黑体;SimHei" w:ascii="方正小标宋简体;微软雅黑" w:hAnsi="方正小标宋简体;微软雅黑"/>
          <w:b/>
          <w:color w:val="000000"/>
          <w:sz w:val="36"/>
          <w:szCs w:val="36"/>
        </w:rPr>
      </w:r>
    </w:p>
    <w:p>
      <w:pPr>
        <w:pStyle w:val="Style17"/>
        <w:spacing w:lineRule="exact" w:line="600" w:before="0" w:after="0"/>
        <w:jc w:val="center"/>
        <w:rPr>
          <w:rStyle w:val="Strong"/>
          <w:color w:val="000000"/>
          <w:sz w:val="32"/>
          <w:szCs w:val="32"/>
        </w:rPr>
      </w:pPr>
      <w:r>
        <w:rPr>
          <w:rStyle w:val="Strong"/>
          <w:rFonts w:ascii="黑体;SimHei" w:hAnsi="黑体;SimHei" w:cs="黑体;SimHei" w:eastAsia="黑体;SimHei"/>
          <w:color w:val="000000"/>
          <w:sz w:val="32"/>
          <w:szCs w:val="32"/>
        </w:rPr>
        <w:t>第一章  总 则</w:t>
      </w:r>
    </w:p>
    <w:p>
      <w:pPr>
        <w:pStyle w:val="Style17"/>
        <w:spacing w:lineRule="exact" w:line="600" w:before="0" w:after="0"/>
        <w:ind w:firstLine="630" w:end="0"/>
        <w:rPr>
          <w:rFonts w:ascii="仿宋_GB2312;微软雅黑" w:hAnsi="仿宋_GB2312;微软雅黑" w:eastAsia="仿宋_GB2312;微软雅黑" w:cs="仿宋"/>
          <w:b/>
          <w:color w:val="000000"/>
          <w:sz w:val="32"/>
          <w:szCs w:val="32"/>
        </w:rPr>
      </w:pPr>
      <w:r>
        <w:rPr>
          <w:rFonts w:ascii="黑体;SimHei" w:hAnsi="黑体;SimHei" w:cs="黑体;SimHei" w:eastAsia="黑体;SimHei"/>
          <w:b/>
          <w:color w:val="000000"/>
          <w:sz w:val="32"/>
          <w:szCs w:val="32"/>
        </w:rPr>
        <w:t xml:space="preserve">第一条 </w:t>
      </w:r>
      <w:r>
        <w:rPr>
          <w:rFonts w:ascii="仿宋_GB2312;微软雅黑" w:hAnsi="仿宋_GB2312;微软雅黑" w:cs="仿宋" w:eastAsia="仿宋_GB2312;微软雅黑"/>
          <w:b/>
          <w:color w:val="000000"/>
          <w:sz w:val="32"/>
          <w:szCs w:val="32"/>
        </w:rPr>
        <w:t>为进一步加强对学校勤工助学工作的管理，规范勤工助学行为，促进勤工助学活动健康、有序、持续开展，保障学生合法权益，帮助学生顺利完成学业，根据《教育部、财政部关于印发〈高等学校勤工助学管理办法（</w:t>
      </w:r>
      <w:r>
        <w:rPr>
          <w:rFonts w:eastAsia="仿宋_GB2312;微软雅黑" w:cs="仿宋" w:ascii="仿宋_GB2312;微软雅黑" w:hAnsi="仿宋_GB2312;微软雅黑"/>
          <w:b/>
          <w:color w:val="000000"/>
          <w:sz w:val="32"/>
          <w:szCs w:val="32"/>
        </w:rPr>
        <w:t>2018</w:t>
      </w:r>
      <w:r>
        <w:rPr>
          <w:rFonts w:ascii="仿宋_GB2312;微软雅黑" w:hAnsi="仿宋_GB2312;微软雅黑" w:cs="仿宋" w:eastAsia="仿宋_GB2312;微软雅黑"/>
          <w:b/>
          <w:color w:val="000000"/>
          <w:sz w:val="32"/>
          <w:szCs w:val="32"/>
        </w:rPr>
        <w:t>年修订）〉的通知》（教财</w:t>
      </w:r>
      <w:r>
        <w:rPr>
          <w:rFonts w:eastAsia="仿宋_GB2312;微软雅黑" w:cs="仿宋" w:ascii="仿宋_GB2312;微软雅黑" w:hAnsi="仿宋_GB2312;微软雅黑"/>
          <w:b/>
          <w:color w:val="000000"/>
          <w:sz w:val="32"/>
          <w:szCs w:val="32"/>
        </w:rPr>
        <w:t>[2018]12</w:t>
      </w:r>
      <w:r>
        <w:rPr>
          <w:rFonts w:ascii="仿宋_GB2312;微软雅黑" w:hAnsi="仿宋_GB2312;微软雅黑" w:cs="仿宋" w:eastAsia="仿宋_GB2312;微软雅黑"/>
          <w:b/>
          <w:color w:val="000000"/>
          <w:sz w:val="32"/>
          <w:szCs w:val="32"/>
        </w:rPr>
        <w:t>号）精神，结合学校实际，制定本办法。</w:t>
      </w:r>
    </w:p>
    <w:p>
      <w:pPr>
        <w:pStyle w:val="Style17"/>
        <w:spacing w:lineRule="exact" w:line="600" w:before="0" w:after="0"/>
        <w:ind w:firstLine="630" w:end="0"/>
        <w:rPr>
          <w:rFonts w:ascii="仿宋_GB2312;微软雅黑" w:hAnsi="仿宋_GB2312;微软雅黑" w:eastAsia="仿宋_GB2312;微软雅黑" w:cs="仿宋"/>
          <w:b/>
          <w:color w:val="000000"/>
          <w:sz w:val="32"/>
          <w:szCs w:val="32"/>
        </w:rPr>
      </w:pPr>
      <w:r>
        <w:rPr>
          <w:rFonts w:ascii="黑体;SimHei" w:hAnsi="黑体;SimHei" w:cs="黑体;SimHei" w:eastAsia="黑体;SimHei"/>
          <w:b/>
          <w:color w:val="000000"/>
          <w:sz w:val="32"/>
          <w:szCs w:val="32"/>
        </w:rPr>
        <w:t>第二条</w:t>
      </w:r>
      <w:r>
        <w:rPr>
          <w:rFonts w:ascii="仿宋_GB2312;微软雅黑" w:hAnsi="仿宋_GB2312;微软雅黑" w:cs="仿宋" w:eastAsia="仿宋_GB2312;微软雅黑"/>
          <w:b/>
          <w:color w:val="000000"/>
          <w:sz w:val="32"/>
          <w:szCs w:val="32"/>
        </w:rPr>
        <w:t xml:space="preserve"> 本办法所称学生是指学校招收的本科生（含预科生）和研究生。</w:t>
      </w:r>
    </w:p>
    <w:p>
      <w:pPr>
        <w:pStyle w:val="Style17"/>
        <w:spacing w:lineRule="exact" w:line="600" w:before="0" w:after="0"/>
        <w:ind w:firstLine="630" w:end="0"/>
        <w:rPr>
          <w:rFonts w:ascii="仿宋_GB2312;微软雅黑" w:hAnsi="仿宋_GB2312;微软雅黑" w:eastAsia="仿宋_GB2312;微软雅黑" w:cs="仿宋"/>
          <w:b/>
          <w:color w:val="000000"/>
          <w:spacing w:val="6"/>
          <w:sz w:val="32"/>
          <w:szCs w:val="32"/>
        </w:rPr>
      </w:pPr>
      <w:r>
        <w:rPr>
          <w:rFonts w:ascii="黑体;SimHei" w:hAnsi="黑体;SimHei" w:cs="黑体;SimHei" w:eastAsia="黑体;SimHei"/>
          <w:b/>
          <w:color w:val="000000"/>
          <w:sz w:val="32"/>
          <w:szCs w:val="32"/>
        </w:rPr>
        <w:t>第三条</w:t>
      </w:r>
      <w:r>
        <w:rPr>
          <w:rFonts w:ascii="仿宋" w:hAnsi="仿宋" w:cs="仿宋" w:eastAsia="仿宋"/>
          <w:b/>
          <w:color w:val="000000"/>
          <w:sz w:val="32"/>
          <w:szCs w:val="32"/>
        </w:rPr>
        <w:t xml:space="preserve"> </w:t>
      </w:r>
      <w:r>
        <w:rPr>
          <w:rFonts w:ascii="仿宋_GB2312;微软雅黑" w:hAnsi="仿宋_GB2312;微软雅黑" w:cs="仿宋" w:eastAsia="仿宋_GB2312;微软雅黑"/>
          <w:b/>
          <w:color w:val="000000"/>
          <w:sz w:val="32"/>
          <w:szCs w:val="32"/>
        </w:rPr>
        <w:t>本办法所称勤工助学活动是指学生在学校的组织下利用课余时间，通过劳动取得合法报酬，用于改善学习和生活条件</w:t>
      </w:r>
      <w:r>
        <w:rPr>
          <w:rFonts w:ascii="仿宋_GB2312;微软雅黑" w:hAnsi="仿宋_GB2312;微软雅黑" w:cs="仿宋" w:eastAsia="仿宋_GB2312;微软雅黑"/>
          <w:b/>
          <w:color w:val="000000"/>
          <w:spacing w:val="6"/>
          <w:sz w:val="32"/>
          <w:szCs w:val="32"/>
        </w:rPr>
        <w:t>的实践活动。学生私自在校外兼职的行为，不在本办法规定之列。</w:t>
      </w:r>
    </w:p>
    <w:p>
      <w:pPr>
        <w:pStyle w:val="Style17"/>
        <w:spacing w:lineRule="exact" w:line="600" w:before="0" w:after="0"/>
        <w:ind w:firstLine="630" w:end="0"/>
        <w:rPr>
          <w:rFonts w:ascii="仿宋_GB2312;微软雅黑" w:hAnsi="仿宋_GB2312;微软雅黑" w:eastAsia="仿宋_GB2312;微软雅黑" w:cs="仿宋"/>
          <w:b/>
          <w:color w:val="000000"/>
          <w:spacing w:val="6"/>
          <w:sz w:val="32"/>
          <w:szCs w:val="32"/>
        </w:rPr>
      </w:pPr>
      <w:r>
        <w:rPr>
          <w:rFonts w:ascii="黑体;SimHei" w:hAnsi="黑体;SimHei" w:cs="黑体;SimHei" w:eastAsia="黑体;SimHei"/>
          <w:b/>
          <w:color w:val="000000"/>
          <w:sz w:val="32"/>
          <w:szCs w:val="32"/>
        </w:rPr>
        <w:t>第四条</w:t>
      </w:r>
      <w:r>
        <w:rPr>
          <w:rFonts w:ascii="仿宋" w:hAnsi="仿宋" w:cs="仿宋" w:eastAsia="仿宋"/>
          <w:b/>
          <w:color w:val="000000"/>
          <w:sz w:val="32"/>
          <w:szCs w:val="32"/>
        </w:rPr>
        <w:t xml:space="preserve"> </w:t>
      </w:r>
      <w:r>
        <w:rPr>
          <w:rFonts w:ascii="仿宋_GB2312;微软雅黑" w:hAnsi="仿宋_GB2312;微软雅黑" w:cs="仿宋" w:eastAsia="仿宋_GB2312;微软雅黑"/>
          <w:b/>
          <w:color w:val="000000"/>
          <w:sz w:val="32"/>
          <w:szCs w:val="32"/>
        </w:rPr>
        <w:t>勤工助学是学校学生资助工作的重要组成部分，是资助家庭经济困难学生的有效途径，是加强劳动教育、提高学生综合素质的重要举措，是推进“三全育人”的有效平台。勤工助学活动应坚持“立足校园、服务社会”的宗旨，按照学有余力、自愿申请、信息公开、扶困优先、竞争上岗、遵纪守法的原则，由学</w:t>
      </w:r>
      <w:r>
        <w:rPr>
          <w:rFonts w:ascii="仿宋_GB2312;微软雅黑" w:hAnsi="仿宋_GB2312;微软雅黑" w:cs="仿宋" w:eastAsia="仿宋_GB2312;微软雅黑"/>
          <w:b/>
          <w:color w:val="000000"/>
          <w:spacing w:val="6"/>
          <w:sz w:val="32"/>
          <w:szCs w:val="32"/>
        </w:rPr>
        <w:t>校在不影响正常教学秩序和学生正常学习的前提下有组织地开展。</w:t>
      </w:r>
    </w:p>
    <w:p>
      <w:pPr>
        <w:pStyle w:val="Style17"/>
        <w:spacing w:lineRule="exact" w:line="600" w:before="0" w:after="0"/>
        <w:jc w:val="center"/>
        <w:rPr>
          <w:rStyle w:val="Strong"/>
          <w:color w:val="000000"/>
          <w:sz w:val="32"/>
          <w:szCs w:val="32"/>
        </w:rPr>
      </w:pPr>
      <w:r>
        <w:rPr>
          <w:rStyle w:val="Strong"/>
          <w:rFonts w:ascii="黑体;SimHei" w:hAnsi="黑体;SimHei" w:cs="黑体;SimHei" w:eastAsia="黑体;SimHei"/>
          <w:color w:val="000000"/>
          <w:sz w:val="32"/>
          <w:szCs w:val="32"/>
        </w:rPr>
        <w:t>第二章　组织机构与职责</w:t>
      </w:r>
    </w:p>
    <w:p>
      <w:pPr>
        <w:pStyle w:val="Style17"/>
        <w:spacing w:lineRule="exact" w:line="600" w:before="0" w:after="0"/>
        <w:ind w:firstLine="630" w:end="0"/>
        <w:rPr>
          <w:rFonts w:ascii="仿宋_GB2312;微软雅黑" w:hAnsi="仿宋_GB2312;微软雅黑" w:eastAsia="仿宋_GB2312;微软雅黑" w:cs="仿宋"/>
          <w:b/>
          <w:color w:val="000000"/>
          <w:sz w:val="32"/>
          <w:szCs w:val="32"/>
        </w:rPr>
      </w:pPr>
      <w:r>
        <w:rPr>
          <w:rFonts w:ascii="黑体;SimHei" w:hAnsi="黑体;SimHei" w:cs="黑体;SimHei" w:eastAsia="黑体;SimHei"/>
          <w:b/>
          <w:color w:val="000000"/>
          <w:sz w:val="32"/>
          <w:szCs w:val="32"/>
        </w:rPr>
        <w:t>第五条</w:t>
      </w:r>
      <w:r>
        <w:rPr>
          <w:rFonts w:ascii="仿宋" w:hAnsi="仿宋" w:cs="仿宋" w:eastAsia="仿宋"/>
          <w:b/>
          <w:color w:val="000000"/>
          <w:sz w:val="32"/>
          <w:szCs w:val="32"/>
        </w:rPr>
        <w:t xml:space="preserve"> </w:t>
      </w:r>
      <w:r>
        <w:rPr>
          <w:rFonts w:ascii="仿宋_GB2312;微软雅黑" w:hAnsi="仿宋_GB2312;微软雅黑" w:cs="仿宋" w:eastAsia="仿宋_GB2312;微软雅黑"/>
          <w:b/>
          <w:color w:val="000000"/>
          <w:sz w:val="32"/>
          <w:szCs w:val="32"/>
        </w:rPr>
        <w:t>学校学生资助工作领导小组全面领导、监督勤工助学工作，其职责是：</w:t>
      </w:r>
    </w:p>
    <w:p>
      <w:pPr>
        <w:pStyle w:val="Style17"/>
        <w:spacing w:lineRule="exact" w:line="600" w:before="0" w:after="0"/>
        <w:ind w:firstLine="630" w:end="0"/>
        <w:rPr>
          <w:rFonts w:ascii="仿宋_GB2312;微软雅黑" w:hAnsi="仿宋_GB2312;微软雅黑" w:eastAsia="仿宋_GB2312;微软雅黑" w:cs="仿宋"/>
          <w:b/>
          <w:color w:val="000000"/>
          <w:sz w:val="32"/>
          <w:szCs w:val="32"/>
        </w:rPr>
      </w:pPr>
      <w:r>
        <w:rPr>
          <w:rFonts w:ascii="仿宋_GB2312;微软雅黑" w:hAnsi="仿宋_GB2312;微软雅黑" w:cs="仿宋" w:eastAsia="仿宋_GB2312;微软雅黑"/>
          <w:b/>
          <w:color w:val="000000"/>
          <w:sz w:val="32"/>
          <w:szCs w:val="32"/>
        </w:rPr>
        <w:t>（一）负责协调学校党委宣传部、本科生院、研究生院、财务与资产管理部、人力资源部、科学技术发展研究院、资产经营与后勤保障部、团委等单位配合学生资助管理中心开展勤工助学相关工作；</w:t>
      </w:r>
    </w:p>
    <w:p>
      <w:pPr>
        <w:pStyle w:val="Style17"/>
        <w:spacing w:lineRule="exact" w:line="600" w:before="0" w:after="0"/>
        <w:ind w:firstLine="630" w:end="0"/>
        <w:rPr>
          <w:rFonts w:ascii="仿宋_GB2312;微软雅黑" w:hAnsi="仿宋_GB2312;微软雅黑" w:eastAsia="仿宋_GB2312;微软雅黑" w:cs="仿宋"/>
          <w:b/>
          <w:color w:val="000000"/>
          <w:sz w:val="32"/>
          <w:szCs w:val="32"/>
        </w:rPr>
      </w:pPr>
      <w:r>
        <w:rPr>
          <w:rFonts w:ascii="仿宋_GB2312;微软雅黑" w:hAnsi="仿宋_GB2312;微软雅黑" w:cs="仿宋" w:eastAsia="仿宋_GB2312;微软雅黑"/>
          <w:b/>
          <w:color w:val="000000"/>
          <w:sz w:val="32"/>
          <w:szCs w:val="32"/>
        </w:rPr>
        <w:t>（二）根据国家有关规定，筹措经费，设立勤工助学专项资金，制定资金使用与管理办法；</w:t>
      </w:r>
    </w:p>
    <w:p>
      <w:pPr>
        <w:pStyle w:val="Style17"/>
        <w:spacing w:lineRule="exact" w:line="600" w:before="0" w:after="0"/>
        <w:ind w:firstLine="630" w:end="0"/>
        <w:rPr>
          <w:rFonts w:ascii="仿宋_GB2312;微软雅黑" w:hAnsi="仿宋_GB2312;微软雅黑" w:eastAsia="仿宋_GB2312;微软雅黑" w:cs="仿宋"/>
          <w:b/>
          <w:color w:val="000000"/>
          <w:sz w:val="32"/>
          <w:szCs w:val="32"/>
        </w:rPr>
      </w:pPr>
      <w:r>
        <w:rPr>
          <w:rFonts w:ascii="仿宋_GB2312;微软雅黑" w:hAnsi="仿宋_GB2312;微软雅黑" w:cs="仿宋" w:eastAsia="仿宋_GB2312;微软雅黑"/>
          <w:b/>
          <w:color w:val="000000"/>
          <w:sz w:val="32"/>
          <w:szCs w:val="32"/>
        </w:rPr>
        <w:t>（三）加强对勤工助学学生的思想教育，培养学生热爱劳动、自强不息、创新创业的奋斗精神，增强学生社会实践能力，充分发挥勤工助学育人功能；</w:t>
      </w:r>
    </w:p>
    <w:p>
      <w:pPr>
        <w:pStyle w:val="Style17"/>
        <w:spacing w:lineRule="exact" w:line="600" w:before="0" w:after="0"/>
        <w:ind w:firstLine="630" w:end="0"/>
        <w:rPr>
          <w:rFonts w:ascii="仿宋_GB2312;微软雅黑" w:hAnsi="仿宋_GB2312;微软雅黑" w:eastAsia="仿宋_GB2312;微软雅黑" w:cs="仿宋"/>
          <w:b/>
          <w:color w:val="000000"/>
          <w:sz w:val="32"/>
          <w:szCs w:val="32"/>
        </w:rPr>
      </w:pPr>
      <w:r>
        <w:rPr>
          <w:rFonts w:ascii="仿宋_GB2312;微软雅黑" w:hAnsi="仿宋_GB2312;微软雅黑" w:cs="仿宋" w:eastAsia="仿宋_GB2312;微软雅黑"/>
          <w:b/>
          <w:color w:val="000000"/>
          <w:sz w:val="32"/>
          <w:szCs w:val="32"/>
        </w:rPr>
        <w:t>（四）对在勤工助学活动中表现突出的学生予以表彰和奖励；对违反勤工助学相关规定的学生，按照规定停止其勤工助学活动。对在勤工助学活动中违反校纪校规的，按照校纪校规进行教育和处理；</w:t>
      </w:r>
    </w:p>
    <w:p>
      <w:pPr>
        <w:pStyle w:val="Normal"/>
        <w:spacing w:lineRule="exact" w:line="600"/>
        <w:ind w:firstLine="640" w:end="0"/>
        <w:rPr>
          <w:rFonts w:ascii="仿宋_GB2312;微软雅黑" w:hAnsi="仿宋_GB2312;微软雅黑" w:cs="宋体;SimSun"/>
          <w:b/>
          <w:color w:val="000000"/>
          <w:kern w:val="0"/>
        </w:rPr>
      </w:pPr>
      <w:r>
        <w:rPr>
          <w:rFonts w:ascii="仿宋_GB2312;微软雅黑" w:hAnsi="仿宋_GB2312;微软雅黑" w:cs="宋体;SimSun"/>
          <w:b/>
          <w:color w:val="000000"/>
          <w:kern w:val="0"/>
        </w:rPr>
        <w:t>（五）制定、修改学校关于勤工助学工作的各项规章制度。</w:t>
      </w:r>
    </w:p>
    <w:p>
      <w:pPr>
        <w:pStyle w:val="Normal"/>
        <w:spacing w:lineRule="exact" w:line="600"/>
        <w:ind w:firstLine="643" w:end="0"/>
        <w:rPr>
          <w:rFonts w:ascii="仿宋_GB2312;微软雅黑" w:hAnsi="仿宋_GB2312;微软雅黑" w:cs="宋体;SimSun"/>
          <w:b/>
          <w:color w:val="000000"/>
          <w:kern w:val="0"/>
        </w:rPr>
      </w:pPr>
      <w:r>
        <w:rPr>
          <w:rFonts w:ascii="黑体;SimHei" w:hAnsi="黑体;SimHei" w:cs="宋体;SimSun" w:eastAsia="黑体;SimHei"/>
          <w:b/>
          <w:color w:val="000000"/>
          <w:kern w:val="0"/>
        </w:rPr>
        <w:t>第六条</w:t>
      </w:r>
      <w:r>
        <w:rPr>
          <w:rFonts w:eastAsia="Times New Roman"/>
          <w:b/>
          <w:color w:val="000000"/>
        </w:rPr>
        <w:t xml:space="preserve"> </w:t>
      </w:r>
      <w:r>
        <w:rPr>
          <w:rFonts w:ascii="仿宋_GB2312;微软雅黑" w:hAnsi="仿宋_GB2312;微软雅黑" w:cs="宋体;SimSun"/>
          <w:b/>
          <w:color w:val="000000"/>
          <w:kern w:val="0"/>
        </w:rPr>
        <w:t>学生资助管理中心全面负责校内外学生勤工助学的日常管理工作。其职责是：</w:t>
      </w:r>
    </w:p>
    <w:p>
      <w:pPr>
        <w:pStyle w:val="Normal"/>
        <w:spacing w:lineRule="exact" w:line="600"/>
        <w:ind w:firstLine="640" w:end="0"/>
        <w:rPr>
          <w:rFonts w:ascii="仿宋_GB2312;微软雅黑" w:hAnsi="仿宋_GB2312;微软雅黑" w:cs="宋体;SimSun"/>
          <w:b/>
          <w:color w:val="000000"/>
          <w:kern w:val="0"/>
        </w:rPr>
      </w:pPr>
      <w:r>
        <w:rPr>
          <w:rFonts w:ascii="仿宋_GB2312;微软雅黑" w:hAnsi="仿宋_GB2312;微软雅黑" w:cs="宋体;SimSun"/>
          <w:b/>
          <w:color w:val="000000"/>
          <w:kern w:val="0"/>
        </w:rPr>
        <w:t>（一）统筹协调校内勤工助学岗位设置，开拓校外勤工助学资源；</w:t>
      </w:r>
    </w:p>
    <w:p>
      <w:pPr>
        <w:pStyle w:val="Normal"/>
        <w:spacing w:lineRule="exact" w:line="600"/>
        <w:ind w:firstLine="640" w:end="0"/>
        <w:rPr>
          <w:rFonts w:ascii="仿宋_GB2312;微软雅黑" w:hAnsi="仿宋_GB2312;微软雅黑" w:cs="宋体;SimSun"/>
          <w:b/>
          <w:color w:val="000000"/>
          <w:kern w:val="0"/>
        </w:rPr>
      </w:pPr>
      <w:r>
        <w:rPr>
          <w:rFonts w:ascii="仿宋_GB2312;微软雅黑" w:hAnsi="仿宋_GB2312;微软雅黑" w:cs="宋体;SimSun"/>
          <w:b/>
          <w:color w:val="000000"/>
          <w:kern w:val="0"/>
        </w:rPr>
        <w:t>（二）发布勤工助学招聘信息，组织岗位招聘或为应聘学生和用人单位提供服务；</w:t>
      </w:r>
    </w:p>
    <w:p>
      <w:pPr>
        <w:pStyle w:val="Normal"/>
        <w:spacing w:lineRule="exact" w:line="600"/>
        <w:ind w:firstLine="640" w:end="0"/>
        <w:rPr>
          <w:rFonts w:ascii="仿宋_GB2312;微软雅黑" w:hAnsi="仿宋_GB2312;微软雅黑" w:cs="宋体;SimSun"/>
          <w:b/>
          <w:color w:val="000000"/>
          <w:kern w:val="0"/>
        </w:rPr>
      </w:pPr>
      <w:r>
        <w:rPr>
          <w:rFonts w:ascii="仿宋_GB2312;微软雅黑" w:hAnsi="仿宋_GB2312;微软雅黑" w:cs="宋体;SimSun"/>
          <w:b/>
          <w:color w:val="000000"/>
          <w:kern w:val="0"/>
        </w:rPr>
        <w:t>（三）加强对勤工助学活动过程的监督、管理和考核，开展质量评价；</w:t>
      </w:r>
    </w:p>
    <w:p>
      <w:pPr>
        <w:pStyle w:val="Normal"/>
        <w:spacing w:lineRule="exact" w:line="600"/>
        <w:ind w:firstLine="640" w:end="0"/>
        <w:rPr>
          <w:rFonts w:ascii="仿宋_GB2312;微软雅黑" w:hAnsi="仿宋_GB2312;微软雅黑" w:cs="宋体;SimSun"/>
          <w:b/>
          <w:color w:val="000000"/>
          <w:kern w:val="0"/>
        </w:rPr>
      </w:pPr>
      <w:r>
        <w:rPr>
          <w:rFonts w:ascii="仿宋_GB2312;微软雅黑" w:hAnsi="仿宋_GB2312;微软雅黑" w:cs="宋体;SimSun"/>
          <w:b/>
          <w:color w:val="000000"/>
          <w:kern w:val="0"/>
        </w:rPr>
        <w:t>（四）根据有关规定，制定校内各类勤工助学岗位的酬金标准，负责酬金的发放和管理工作；</w:t>
      </w:r>
    </w:p>
    <w:p>
      <w:pPr>
        <w:pStyle w:val="Normal"/>
        <w:spacing w:lineRule="exact" w:line="600"/>
        <w:ind w:firstLine="640" w:end="0"/>
        <w:rPr>
          <w:rFonts w:ascii="仿宋_GB2312;微软雅黑" w:hAnsi="仿宋_GB2312;微软雅黑" w:cs="宋体;SimSun"/>
          <w:b/>
          <w:color w:val="000000"/>
          <w:kern w:val="0"/>
        </w:rPr>
      </w:pPr>
      <w:r>
        <w:rPr>
          <w:rFonts w:ascii="仿宋_GB2312;微软雅黑" w:hAnsi="仿宋_GB2312;微软雅黑" w:cs="宋体;SimSun"/>
          <w:b/>
          <w:color w:val="000000"/>
          <w:kern w:val="0"/>
        </w:rPr>
        <w:t>（五）组织学生开展勤工助学岗前培训和安全教育，做好校内外用工信息的跟踪反馈和调查工作，维护勤工助学学生的合法权益；</w:t>
      </w:r>
    </w:p>
    <w:p>
      <w:pPr>
        <w:pStyle w:val="Normal"/>
        <w:spacing w:lineRule="exact" w:line="600"/>
        <w:ind w:firstLine="640" w:end="0"/>
        <w:rPr>
          <w:rFonts w:ascii="仿宋_GB2312;微软雅黑" w:hAnsi="仿宋_GB2312;微软雅黑" w:cs="宋体;SimSun"/>
          <w:b/>
          <w:color w:val="000000"/>
          <w:kern w:val="0"/>
        </w:rPr>
      </w:pPr>
      <w:r>
        <w:rPr>
          <w:rFonts w:ascii="仿宋_GB2312;微软雅黑" w:hAnsi="仿宋_GB2312;微软雅黑" w:cs="宋体;SimSun"/>
          <w:b/>
          <w:color w:val="000000"/>
          <w:kern w:val="0"/>
        </w:rPr>
        <w:t>（六）完成学校学生资助工作领导小组交办的其它任务。</w:t>
      </w:r>
    </w:p>
    <w:p>
      <w:pPr>
        <w:pStyle w:val="Normal"/>
        <w:spacing w:lineRule="exact" w:line="600"/>
        <w:ind w:firstLine="643" w:end="0"/>
        <w:rPr>
          <w:rFonts w:ascii="仿宋_GB2312;微软雅黑" w:hAnsi="仿宋_GB2312;微软雅黑" w:cs="宋体;SimSun"/>
          <w:b/>
          <w:color w:val="000000"/>
          <w:kern w:val="0"/>
        </w:rPr>
      </w:pPr>
      <w:r>
        <w:rPr>
          <w:rFonts w:ascii="黑体;SimHei" w:hAnsi="黑体;SimHei" w:cs="宋体;SimSun" w:eastAsia="黑体;SimHei"/>
          <w:b/>
          <w:color w:val="000000"/>
          <w:kern w:val="0"/>
        </w:rPr>
        <w:t>第七条</w:t>
      </w:r>
      <w:r>
        <w:rPr>
          <w:rFonts w:eastAsia="Times New Roman"/>
          <w:b/>
          <w:color w:val="000000"/>
        </w:rPr>
        <w:t xml:space="preserve"> </w:t>
      </w:r>
      <w:r>
        <w:rPr>
          <w:rFonts w:ascii="仿宋_GB2312;微软雅黑" w:hAnsi="仿宋_GB2312;微软雅黑" w:cs="宋体;SimSun"/>
          <w:b/>
          <w:color w:val="000000"/>
          <w:kern w:val="0"/>
        </w:rPr>
        <w:t>学生资助管理中心可根据需要设立学生勤工助学组织，协助完成勤工助学相关工作。</w:t>
      </w:r>
    </w:p>
    <w:p>
      <w:pPr>
        <w:pStyle w:val="Style17"/>
        <w:spacing w:lineRule="exact" w:line="600" w:before="0" w:after="0"/>
        <w:jc w:val="center"/>
        <w:rPr>
          <w:rStyle w:val="Strong"/>
          <w:rFonts w:ascii="黑体;SimHei" w:hAnsi="黑体;SimHei" w:eastAsia="黑体;SimHei" w:cs="黑体;SimHei"/>
          <w:color w:val="000000"/>
          <w:sz w:val="32"/>
          <w:szCs w:val="32"/>
        </w:rPr>
      </w:pPr>
      <w:r>
        <w:rPr>
          <w:rFonts w:cs="宋体;SimSun" w:ascii="仿宋_GB2312;微软雅黑" w:hAnsi="仿宋_GB2312;微软雅黑"/>
          <w:b/>
          <w:color w:val="000000"/>
          <w:kern w:val="0"/>
        </w:rPr>
      </w:r>
    </w:p>
    <w:p>
      <w:pPr>
        <w:pStyle w:val="Style17"/>
        <w:spacing w:lineRule="exact" w:line="600" w:before="0" w:after="0"/>
        <w:jc w:val="center"/>
        <w:rPr>
          <w:b/>
          <w:color w:val="000000"/>
          <w:sz w:val="32"/>
          <w:szCs w:val="32"/>
        </w:rPr>
      </w:pPr>
      <w:r>
        <w:rPr>
          <w:rStyle w:val="Strong"/>
          <w:rFonts w:ascii="黑体;SimHei" w:hAnsi="黑体;SimHei" w:cs="黑体;SimHei" w:eastAsia="黑体;SimHei"/>
          <w:color w:val="000000"/>
          <w:sz w:val="32"/>
          <w:szCs w:val="32"/>
        </w:rPr>
        <w:t>第三章  岗位设置与管理</w:t>
      </w:r>
    </w:p>
    <w:p>
      <w:pPr>
        <w:pStyle w:val="Normal"/>
        <w:spacing w:lineRule="exact" w:line="600"/>
        <w:ind w:firstLine="643" w:end="0"/>
        <w:rPr>
          <w:b/>
          <w:color w:val="000000"/>
        </w:rPr>
      </w:pPr>
      <w:r>
        <w:rPr>
          <w:rFonts w:ascii="黑体;SimHei" w:hAnsi="黑体;SimHei" w:cs="宋体;SimSun" w:eastAsia="黑体;SimHei"/>
          <w:b/>
          <w:color w:val="000000"/>
          <w:kern w:val="0"/>
        </w:rPr>
        <w:t>第八条</w:t>
      </w:r>
      <w:r>
        <w:rPr>
          <w:rFonts w:eastAsia="Times New Roman"/>
          <w:b/>
          <w:color w:val="000000"/>
        </w:rPr>
        <w:t xml:space="preserve"> </w:t>
      </w:r>
      <w:r>
        <w:rPr>
          <w:b/>
          <w:color w:val="000000"/>
        </w:rPr>
        <w:t>设岗原则：</w:t>
      </w:r>
    </w:p>
    <w:p>
      <w:pPr>
        <w:pStyle w:val="Normal"/>
        <w:spacing w:lineRule="exact" w:line="600"/>
        <w:ind w:firstLine="640" w:end="0"/>
        <w:rPr>
          <w:b/>
          <w:color w:val="000000"/>
        </w:rPr>
      </w:pPr>
      <w:r>
        <w:rPr>
          <w:b/>
          <w:color w:val="000000"/>
        </w:rPr>
        <w:t>（一）按需设岗。根据用人单位和学生参加勤工助学活动的需要设岗；</w:t>
      </w:r>
    </w:p>
    <w:p>
      <w:pPr>
        <w:pStyle w:val="Normal"/>
        <w:spacing w:lineRule="exact" w:line="600"/>
        <w:ind w:firstLine="640" w:end="0"/>
        <w:rPr>
          <w:b/>
          <w:color w:val="000000"/>
        </w:rPr>
      </w:pPr>
      <w:r>
        <w:rPr>
          <w:b/>
          <w:color w:val="000000"/>
        </w:rPr>
        <w:t>（二）科学设岗。用人单位要科学合理设置岗位数，每个岗位的劳动强度要与学生承受程度相符，劳动量要与薪酬标准对等；</w:t>
      </w:r>
    </w:p>
    <w:p>
      <w:pPr>
        <w:pStyle w:val="Normal"/>
        <w:spacing w:lineRule="exact" w:line="600"/>
        <w:ind w:firstLine="640" w:end="0"/>
        <w:rPr>
          <w:b/>
          <w:color w:val="000000"/>
          <w:spacing w:val="6"/>
        </w:rPr>
      </w:pPr>
      <w:r>
        <w:rPr>
          <w:b/>
          <w:color w:val="000000"/>
        </w:rPr>
        <w:t>（三）安全设岗。不得组织学生参加有毒、有害和危险的生产</w:t>
      </w:r>
      <w:r>
        <w:rPr>
          <w:b/>
          <w:color w:val="000000"/>
          <w:spacing w:val="6"/>
        </w:rPr>
        <w:t>作业以及超过学生身体承受能力、有碍学生健康的勤工助学活动；</w:t>
      </w:r>
    </w:p>
    <w:p>
      <w:pPr>
        <w:pStyle w:val="Normal"/>
        <w:spacing w:lineRule="exact" w:line="600"/>
        <w:ind w:firstLine="640" w:end="0"/>
        <w:rPr>
          <w:b/>
          <w:color w:val="000000"/>
        </w:rPr>
      </w:pPr>
      <w:r>
        <w:rPr>
          <w:b/>
          <w:color w:val="000000"/>
        </w:rPr>
        <w:t>（四）人性化设岗。对少数民族学生从事勤工助学活动，应尊重其风俗习惯。</w:t>
      </w:r>
    </w:p>
    <w:p>
      <w:pPr>
        <w:pStyle w:val="Normal"/>
        <w:spacing w:lineRule="exact" w:line="600"/>
        <w:ind w:firstLine="643" w:end="0"/>
        <w:rPr>
          <w:b/>
          <w:color w:val="000000"/>
        </w:rPr>
      </w:pPr>
      <w:r>
        <w:rPr>
          <w:rFonts w:ascii="黑体;SimHei" w:hAnsi="黑体;SimHei" w:cs="宋体;SimSun" w:eastAsia="黑体;SimHei"/>
          <w:b/>
          <w:color w:val="000000"/>
          <w:kern w:val="0"/>
        </w:rPr>
        <w:t>第九条</w:t>
      </w:r>
      <w:r>
        <w:rPr>
          <w:rFonts w:eastAsia="Times New Roman"/>
          <w:b/>
          <w:color w:val="000000"/>
        </w:rPr>
        <w:t xml:space="preserve"> </w:t>
      </w:r>
      <w:r>
        <w:rPr>
          <w:b/>
          <w:color w:val="000000"/>
        </w:rPr>
        <w:t>校内勤工助学岗位设置以教学助理、科研助理、行政管理助理和学校公共服务等为主；校外勤工助学岗位设置要注重与学生学业的有机结合。</w:t>
      </w:r>
    </w:p>
    <w:p>
      <w:pPr>
        <w:pStyle w:val="Normal"/>
        <w:spacing w:lineRule="exact" w:line="600"/>
        <w:ind w:firstLine="643" w:end="0"/>
        <w:rPr>
          <w:b/>
          <w:color w:val="000000"/>
        </w:rPr>
      </w:pPr>
      <w:r>
        <w:rPr>
          <w:rFonts w:ascii="黑体;SimHei" w:hAnsi="黑体;SimHei" w:cs="宋体;SimSun" w:eastAsia="黑体;SimHei"/>
          <w:b/>
          <w:color w:val="000000"/>
          <w:kern w:val="0"/>
        </w:rPr>
        <w:t>第十条</w:t>
      </w:r>
      <w:r>
        <w:rPr>
          <w:rFonts w:eastAsia="Times New Roman"/>
          <w:b/>
          <w:color w:val="000000"/>
        </w:rPr>
        <w:t xml:space="preserve"> </w:t>
      </w:r>
      <w:r>
        <w:rPr>
          <w:b/>
          <w:color w:val="000000"/>
        </w:rPr>
        <w:t>校外用人单位聘用学生参加勤工助学，须向学生资助管理中心提出申请，提供法人资格证书副本和相关的证明文件。经审核同意，学生资助管理中心推荐适合要求的学生参加勤工助学活动。</w:t>
      </w:r>
    </w:p>
    <w:p>
      <w:pPr>
        <w:pStyle w:val="Normal"/>
        <w:spacing w:lineRule="exact" w:line="600"/>
        <w:ind w:firstLine="643" w:end="0"/>
        <w:rPr>
          <w:b/>
          <w:color w:val="000000"/>
        </w:rPr>
      </w:pPr>
      <w:r>
        <w:rPr>
          <w:rFonts w:ascii="黑体;SimHei" w:hAnsi="黑体;SimHei" w:cs="宋体;SimSun" w:eastAsia="黑体;SimHei"/>
          <w:b/>
          <w:color w:val="000000"/>
          <w:kern w:val="0"/>
        </w:rPr>
        <w:t>第十一条</w:t>
      </w:r>
      <w:r>
        <w:rPr>
          <w:rFonts w:eastAsia="Times New Roman"/>
          <w:b/>
          <w:color w:val="000000"/>
        </w:rPr>
        <w:t xml:space="preserve"> </w:t>
      </w:r>
      <w:r>
        <w:rPr>
          <w:b/>
          <w:color w:val="000000"/>
        </w:rPr>
        <w:t>岗位类型：勤工助学岗位分固定岗位和临时岗位。</w:t>
      </w:r>
    </w:p>
    <w:p>
      <w:pPr>
        <w:pStyle w:val="Normal"/>
        <w:spacing w:lineRule="exact" w:line="600"/>
        <w:ind w:firstLine="640" w:end="0"/>
        <w:rPr>
          <w:b/>
          <w:color w:val="000000"/>
        </w:rPr>
      </w:pPr>
      <w:r>
        <w:rPr>
          <w:b/>
          <w:color w:val="000000"/>
        </w:rPr>
        <w:t>（一）固定岗位是指持续一个学期以上的长期性岗位和寒暑假期间的连续性岗位；</w:t>
      </w:r>
    </w:p>
    <w:p>
      <w:pPr>
        <w:pStyle w:val="Normal"/>
        <w:spacing w:lineRule="exact" w:line="600"/>
        <w:ind w:firstLine="640" w:end="0"/>
        <w:rPr>
          <w:b/>
          <w:color w:val="000000"/>
        </w:rPr>
      </w:pPr>
      <w:r>
        <w:rPr>
          <w:b/>
          <w:color w:val="000000"/>
        </w:rPr>
        <w:t>（二）临时岗位是指不具有长期性，通过一次或几次勤工助学活动即完成任务的工作岗位。</w:t>
      </w:r>
    </w:p>
    <w:p>
      <w:pPr>
        <w:pStyle w:val="Normal"/>
        <w:spacing w:lineRule="exact" w:line="600"/>
        <w:ind w:firstLine="643" w:end="0"/>
        <w:rPr>
          <w:rFonts w:ascii="仿宋_GB2312;微软雅黑" w:hAnsi="仿宋_GB2312;微软雅黑"/>
          <w:b/>
          <w:color w:val="000000"/>
        </w:rPr>
      </w:pPr>
      <w:r>
        <w:rPr>
          <w:rFonts w:ascii="黑体;SimHei" w:hAnsi="黑体;SimHei" w:cs="宋体;SimSun" w:eastAsia="黑体;SimHei"/>
          <w:b/>
          <w:color w:val="000000"/>
          <w:kern w:val="0"/>
        </w:rPr>
        <w:t>第十二条</w:t>
      </w:r>
      <w:r>
        <w:rPr>
          <w:rFonts w:eastAsia="Times New Roman"/>
          <w:b/>
          <w:color w:val="000000"/>
        </w:rPr>
        <w:t xml:space="preserve"> </w:t>
      </w:r>
      <w:r>
        <w:rPr>
          <w:rFonts w:ascii="仿宋_GB2312;微软雅黑" w:hAnsi="仿宋_GB2312;微软雅黑"/>
          <w:b/>
          <w:color w:val="000000"/>
        </w:rPr>
        <w:t>勤工助学岗位聘用程序</w:t>
      </w:r>
    </w:p>
    <w:p>
      <w:pPr>
        <w:pStyle w:val="Normal"/>
        <w:spacing w:lineRule="exact" w:line="600"/>
        <w:ind w:firstLine="640" w:end="0"/>
        <w:rPr/>
      </w:pPr>
      <w:r>
        <w:rPr>
          <w:rFonts w:ascii="仿宋_GB2312;微软雅黑" w:hAnsi="仿宋_GB2312;微软雅黑"/>
          <w:b/>
          <w:color w:val="000000"/>
        </w:rPr>
        <w:t>（一）信息发布。每学期一次，于开学之初进行，校内固定岗位由学生资助管理中心汇总用人单位需求，集中发布岗位招聘信息。校内临时岗位以及校外勤工助学岗位的信息适时发布</w:t>
      </w:r>
      <w:r>
        <w:rPr>
          <w:rFonts w:ascii="仿宋_GB2312;微软雅黑" w:hAnsi="仿宋_GB2312;微软雅黑"/>
          <w:b/>
          <w:color w:val="000000"/>
        </w:rPr>
        <w:t>;</w:t>
      </w:r>
    </w:p>
    <w:p>
      <w:pPr>
        <w:pStyle w:val="Normal"/>
        <w:spacing w:lineRule="exact" w:line="600"/>
        <w:ind w:firstLine="640" w:end="0"/>
        <w:rPr/>
      </w:pPr>
      <w:r>
        <w:rPr>
          <w:rFonts w:ascii="仿宋_GB2312;微软雅黑" w:hAnsi="仿宋_GB2312;微软雅黑"/>
          <w:b/>
          <w:color w:val="000000"/>
        </w:rPr>
        <w:t>（二）学生申请。符合招聘条件的学生向学生资助管理中心或用人单位提出申请</w:t>
      </w:r>
      <w:r>
        <w:rPr>
          <w:rFonts w:ascii="仿宋_GB2312;微软雅黑" w:hAnsi="仿宋_GB2312;微软雅黑"/>
          <w:b/>
          <w:color w:val="000000"/>
        </w:rPr>
        <w:t>;</w:t>
      </w:r>
    </w:p>
    <w:p>
      <w:pPr>
        <w:pStyle w:val="Normal"/>
        <w:spacing w:lineRule="exact" w:line="600"/>
        <w:ind w:firstLine="640" w:end="0"/>
        <w:rPr/>
      </w:pPr>
      <w:r>
        <w:rPr>
          <w:rFonts w:ascii="仿宋_GB2312;微软雅黑" w:hAnsi="仿宋_GB2312;微软雅黑"/>
          <w:b/>
          <w:color w:val="000000"/>
        </w:rPr>
        <w:t>（三）考核录用。学生资助管理中心或用人单位根据岗位需要，结合学生实际情况，进行考核，确定录用名单，原则上优先录用家庭经济困难学生</w:t>
      </w:r>
      <w:r>
        <w:rPr>
          <w:rFonts w:ascii="仿宋_GB2312;微软雅黑" w:hAnsi="仿宋_GB2312;微软雅黑"/>
          <w:b/>
          <w:color w:val="000000"/>
        </w:rPr>
        <w:t>;</w:t>
      </w:r>
    </w:p>
    <w:p>
      <w:pPr>
        <w:pStyle w:val="Normal"/>
        <w:spacing w:lineRule="exact" w:line="600"/>
        <w:ind w:firstLine="640" w:end="0"/>
        <w:rPr/>
      </w:pPr>
      <w:r>
        <w:rPr>
          <w:rFonts w:ascii="仿宋_GB2312;微软雅黑" w:hAnsi="仿宋_GB2312;微软雅黑"/>
          <w:b/>
          <w:color w:val="000000"/>
        </w:rPr>
        <w:t>（四）岗前培训。学生资助管理中心或用人单位对录用学生开展必要的岗前培训及安全教育</w:t>
      </w:r>
      <w:r>
        <w:rPr>
          <w:rFonts w:ascii="仿宋_GB2312;微软雅黑" w:hAnsi="仿宋_GB2312;微软雅黑"/>
          <w:b/>
          <w:color w:val="000000"/>
        </w:rPr>
        <w:t>;</w:t>
      </w:r>
    </w:p>
    <w:p>
      <w:pPr>
        <w:pStyle w:val="Normal"/>
        <w:spacing w:lineRule="exact" w:line="600"/>
        <w:ind w:firstLine="640" w:end="0"/>
        <w:rPr>
          <w:b/>
          <w:color w:val="000000"/>
        </w:rPr>
      </w:pPr>
      <w:r>
        <w:rPr>
          <w:rFonts w:ascii="仿宋_GB2312;微软雅黑" w:hAnsi="仿宋_GB2312;微软雅黑"/>
          <w:b/>
          <w:color w:val="000000"/>
        </w:rPr>
        <w:t>（五）正式上岗。学生资助管理中心或用人单位可根据实际</w:t>
      </w:r>
      <w:r>
        <w:rPr>
          <w:b/>
          <w:color w:val="000000"/>
        </w:rPr>
        <w:t>情况确定合理的试用期，试用合格者正式上岗；试用不合格者，重新招聘。</w:t>
      </w:r>
    </w:p>
    <w:p>
      <w:pPr>
        <w:pStyle w:val="Style17"/>
        <w:spacing w:lineRule="exact" w:line="600" w:before="0" w:after="0"/>
        <w:jc w:val="center"/>
        <w:rPr>
          <w:rStyle w:val="Strong"/>
          <w:rFonts w:ascii="黑体;SimHei" w:hAnsi="黑体;SimHei" w:eastAsia="黑体;SimHei" w:cs="黑体;SimHei"/>
          <w:color w:val="000000"/>
          <w:sz w:val="32"/>
          <w:szCs w:val="32"/>
        </w:rPr>
      </w:pPr>
      <w:r>
        <w:rPr>
          <w:b/>
          <w:color w:val="000000"/>
        </w:rPr>
      </w:r>
    </w:p>
    <w:p>
      <w:pPr>
        <w:pStyle w:val="Style17"/>
        <w:spacing w:lineRule="exact" w:line="600" w:before="0" w:after="0"/>
        <w:jc w:val="center"/>
        <w:rPr>
          <w:rStyle w:val="Strong"/>
          <w:rFonts w:ascii="黑体;SimHei" w:hAnsi="黑体;SimHei" w:eastAsia="黑体;SimHei" w:cs="黑体;SimHei"/>
          <w:color w:val="000000"/>
          <w:sz w:val="32"/>
          <w:szCs w:val="32"/>
        </w:rPr>
      </w:pPr>
      <w:r>
        <w:rPr>
          <w:rStyle w:val="Strong"/>
          <w:rFonts w:ascii="黑体;SimHei" w:hAnsi="黑体;SimHei" w:cs="黑体;SimHei" w:eastAsia="黑体;SimHei"/>
          <w:color w:val="000000"/>
          <w:sz w:val="32"/>
          <w:szCs w:val="32"/>
        </w:rPr>
        <w:t>第四章　勤工助学酬金标准及支付</w:t>
      </w:r>
    </w:p>
    <w:p>
      <w:pPr>
        <w:pStyle w:val="Normal"/>
        <w:spacing w:lineRule="exact" w:line="600"/>
        <w:rPr>
          <w:rFonts w:ascii="仿宋_GB2312;微软雅黑" w:hAnsi="仿宋_GB2312;微软雅黑"/>
          <w:b/>
          <w:color w:val="000000"/>
        </w:rPr>
      </w:pPr>
      <w:r>
        <w:rPr>
          <w:b/>
          <w:color w:val="000000"/>
        </w:rPr>
        <w:t>　　</w:t>
      </w:r>
      <w:r>
        <w:rPr>
          <w:rFonts w:ascii="黑体;SimHei" w:hAnsi="黑体;SimHei" w:cs="宋体;SimSun" w:eastAsia="黑体;SimHei"/>
          <w:b/>
          <w:color w:val="000000"/>
          <w:kern w:val="0"/>
        </w:rPr>
        <w:t>第十三条</w:t>
      </w:r>
      <w:r>
        <w:rPr>
          <w:rFonts w:eastAsia="Times New Roman"/>
          <w:b/>
          <w:color w:val="000000"/>
        </w:rPr>
        <w:t xml:space="preserve"> </w:t>
      </w:r>
      <w:r>
        <w:rPr>
          <w:rFonts w:ascii="仿宋_GB2312;微软雅黑" w:hAnsi="仿宋_GB2312;微软雅黑"/>
          <w:b/>
          <w:color w:val="000000"/>
        </w:rPr>
        <w:t>校内固定岗位按月计酬。每月酬金参照武汉市制定的最低工资标准，根据劳动强度和工作质量确定。校内临时岗位按小时计酬。每小时酬金原则上不低于</w:t>
      </w:r>
      <w:r>
        <w:rPr>
          <w:rFonts w:ascii="仿宋_GB2312;微软雅黑" w:hAnsi="仿宋_GB2312;微软雅黑"/>
          <w:b/>
          <w:color w:val="000000"/>
        </w:rPr>
        <w:t>12</w:t>
      </w:r>
      <w:r>
        <w:rPr>
          <w:rFonts w:ascii="仿宋_GB2312;微软雅黑" w:hAnsi="仿宋_GB2312;微软雅黑"/>
          <w:b/>
          <w:color w:val="000000"/>
        </w:rPr>
        <w:t>元人民币。</w:t>
      </w:r>
    </w:p>
    <w:p>
      <w:pPr>
        <w:pStyle w:val="Normal"/>
        <w:spacing w:lineRule="exact" w:line="600"/>
        <w:ind w:firstLine="643" w:end="0"/>
        <w:rPr>
          <w:rFonts w:ascii="仿宋_GB2312;微软雅黑" w:hAnsi="仿宋_GB2312;微软雅黑"/>
          <w:b/>
          <w:color w:val="000000"/>
        </w:rPr>
      </w:pPr>
      <w:r>
        <w:rPr>
          <w:rFonts w:ascii="黑体;SimHei" w:hAnsi="黑体;SimHei" w:cs="宋体;SimSun" w:eastAsia="黑体;SimHei"/>
          <w:b/>
          <w:color w:val="000000"/>
          <w:kern w:val="0"/>
        </w:rPr>
        <w:t>第十四条</w:t>
      </w:r>
      <w:r>
        <w:rPr>
          <w:rFonts w:eastAsia="Times New Roman"/>
          <w:b/>
          <w:color w:val="000000"/>
        </w:rPr>
        <w:t xml:space="preserve"> </w:t>
      </w:r>
      <w:r>
        <w:rPr>
          <w:rFonts w:ascii="仿宋_GB2312;微软雅黑" w:hAnsi="仿宋_GB2312;微软雅黑"/>
          <w:b/>
          <w:color w:val="000000"/>
        </w:rPr>
        <w:t>学生参加勤工助学的时间原则上每周不超过</w:t>
      </w:r>
      <w:r>
        <w:rPr>
          <w:rFonts w:ascii="仿宋_GB2312;微软雅黑" w:hAnsi="仿宋_GB2312;微软雅黑"/>
          <w:b/>
          <w:color w:val="000000"/>
        </w:rPr>
        <w:t>8</w:t>
      </w:r>
      <w:r>
        <w:rPr>
          <w:rFonts w:ascii="仿宋_GB2312;微软雅黑" w:hAnsi="仿宋_GB2312;微软雅黑"/>
          <w:b/>
          <w:color w:val="000000"/>
        </w:rPr>
        <w:t>小时、每月不超过</w:t>
      </w:r>
      <w:r>
        <w:rPr>
          <w:rFonts w:ascii="仿宋_GB2312;微软雅黑" w:hAnsi="仿宋_GB2312;微软雅黑"/>
          <w:b/>
          <w:color w:val="000000"/>
        </w:rPr>
        <w:t>40</w:t>
      </w:r>
      <w:r>
        <w:rPr>
          <w:rFonts w:ascii="仿宋_GB2312;微软雅黑" w:hAnsi="仿宋_GB2312;微软雅黑"/>
          <w:b/>
          <w:color w:val="000000"/>
        </w:rPr>
        <w:t>小时，寒暑假勤工助学时间可根据具体情况适当延长。</w:t>
      </w:r>
    </w:p>
    <w:p>
      <w:pPr>
        <w:pStyle w:val="Normal"/>
        <w:spacing w:lineRule="exact" w:line="600"/>
        <w:rPr>
          <w:rFonts w:ascii="仿宋_GB2312;微软雅黑" w:hAnsi="仿宋_GB2312;微软雅黑"/>
          <w:b/>
          <w:color w:val="000000"/>
        </w:rPr>
      </w:pPr>
      <w:r>
        <w:rPr>
          <w:b/>
          <w:color w:val="000000"/>
        </w:rPr>
        <w:t>　　</w:t>
      </w:r>
      <w:r>
        <w:rPr>
          <w:rFonts w:ascii="黑体;SimHei" w:hAnsi="黑体;SimHei" w:cs="宋体;SimSun" w:eastAsia="黑体;SimHei"/>
          <w:b/>
          <w:color w:val="000000"/>
          <w:kern w:val="0"/>
        </w:rPr>
        <w:t>第十五条</w:t>
      </w:r>
      <w:r>
        <w:rPr>
          <w:rFonts w:ascii="仿宋_GB2312;微软雅黑" w:hAnsi="仿宋_GB2312;微软雅黑"/>
          <w:b/>
          <w:color w:val="000000"/>
        </w:rPr>
        <w:t xml:space="preserve"> </w:t>
      </w:r>
      <w:r>
        <w:rPr>
          <w:rFonts w:ascii="仿宋_GB2312;微软雅黑" w:hAnsi="仿宋_GB2312;微软雅黑"/>
          <w:b/>
          <w:color w:val="000000"/>
        </w:rPr>
        <w:t>校外勤工助学酬金标准不应低于当地政府或有关部门制定的最低工资标准，由用人单位、学生资助管理中心与学生协商确定，并写入聘用协议。</w:t>
      </w:r>
    </w:p>
    <w:p>
      <w:pPr>
        <w:pStyle w:val="Normal"/>
        <w:spacing w:lineRule="exact" w:line="600"/>
        <w:ind w:firstLine="643" w:end="0"/>
        <w:rPr>
          <w:rFonts w:ascii="仿宋_GB2312;微软雅黑" w:hAnsi="仿宋_GB2312;微软雅黑"/>
          <w:b/>
          <w:color w:val="000000"/>
        </w:rPr>
      </w:pPr>
      <w:r>
        <w:rPr>
          <w:rFonts w:ascii="黑体;SimHei" w:hAnsi="黑体;SimHei" w:cs="宋体;SimSun" w:eastAsia="黑体;SimHei"/>
          <w:b/>
          <w:color w:val="000000"/>
          <w:kern w:val="0"/>
        </w:rPr>
        <w:t>第十六条</w:t>
      </w:r>
      <w:r>
        <w:rPr>
          <w:rFonts w:eastAsia="Times New Roman"/>
          <w:b/>
          <w:color w:val="000000"/>
        </w:rPr>
        <w:t xml:space="preserve"> </w:t>
      </w:r>
      <w:r>
        <w:rPr>
          <w:rFonts w:ascii="仿宋_GB2312;微软雅黑" w:hAnsi="仿宋_GB2312;微软雅黑"/>
          <w:b/>
          <w:color w:val="000000"/>
        </w:rPr>
        <w:t>学生参与校内非营利性岗位的勤工助学活动，其劳动报酬由学生资助管理中心从勤工助学专项资金中支付；学生参与校内营利性单位或有专门经费项目的勤工助学活动，其劳动报酬原则上由用人单位支付或从项目经费中开支；学生参加校外勤工助学，其劳动报酬由校外用人单位按协议支付。</w:t>
      </w:r>
    </w:p>
    <w:p>
      <w:pPr>
        <w:pStyle w:val="Normal"/>
        <w:spacing w:lineRule="exact" w:line="600"/>
        <w:ind w:firstLine="643" w:end="0"/>
        <w:rPr>
          <w:rFonts w:ascii="仿宋_GB2312;微软雅黑" w:hAnsi="仿宋_GB2312;微软雅黑"/>
          <w:b/>
          <w:color w:val="000000"/>
        </w:rPr>
      </w:pPr>
      <w:r>
        <w:rPr>
          <w:rFonts w:ascii="黑体;SimHei" w:hAnsi="黑体;SimHei" w:cs="宋体;SimSun" w:eastAsia="黑体;SimHei"/>
          <w:b/>
          <w:color w:val="000000"/>
          <w:kern w:val="0"/>
        </w:rPr>
        <w:t>第十七条</w:t>
      </w:r>
      <w:r>
        <w:rPr>
          <w:rFonts w:eastAsia="Times New Roman"/>
          <w:b/>
          <w:color w:val="000000"/>
        </w:rPr>
        <w:t xml:space="preserve"> </w:t>
      </w:r>
      <w:r>
        <w:rPr>
          <w:rFonts w:ascii="仿宋_GB2312;微软雅黑" w:hAnsi="仿宋_GB2312;微软雅黑"/>
          <w:b/>
          <w:color w:val="000000"/>
        </w:rPr>
        <w:t>勤工助学酬金发放需经学生资助管理中心或用人单位审核公示，原则上通过学生银行卡发放。</w:t>
      </w:r>
    </w:p>
    <w:p>
      <w:pPr>
        <w:pStyle w:val="Style17"/>
        <w:spacing w:lineRule="exact" w:line="600" w:before="0" w:after="0"/>
        <w:jc w:val="center"/>
        <w:rPr>
          <w:rStyle w:val="Strong"/>
          <w:rFonts w:ascii="黑体;SimHei" w:hAnsi="黑体;SimHei" w:eastAsia="黑体;SimHei" w:cs="黑体;SimHei"/>
          <w:color w:val="000000"/>
          <w:sz w:val="32"/>
          <w:szCs w:val="32"/>
        </w:rPr>
      </w:pPr>
      <w:r>
        <w:rPr>
          <w:rFonts w:ascii="仿宋_GB2312;微软雅黑" w:hAnsi="仿宋_GB2312;微软雅黑"/>
          <w:b/>
          <w:color w:val="000000"/>
        </w:rPr>
      </w:r>
    </w:p>
    <w:p>
      <w:pPr>
        <w:pStyle w:val="Style17"/>
        <w:spacing w:lineRule="exact" w:line="600" w:before="0" w:after="0"/>
        <w:jc w:val="center"/>
        <w:rPr>
          <w:rStyle w:val="Strong"/>
          <w:rFonts w:ascii="黑体;SimHei" w:hAnsi="黑体;SimHei" w:eastAsia="黑体;SimHei" w:cs="黑体;SimHei"/>
          <w:color w:val="000000"/>
          <w:sz w:val="32"/>
          <w:szCs w:val="32"/>
        </w:rPr>
      </w:pPr>
      <w:r>
        <w:rPr>
          <w:rStyle w:val="Strong"/>
          <w:rFonts w:ascii="黑体;SimHei" w:hAnsi="黑体;SimHei" w:cs="黑体;SimHei" w:eastAsia="黑体;SimHei"/>
          <w:color w:val="000000"/>
          <w:sz w:val="32"/>
          <w:szCs w:val="32"/>
        </w:rPr>
        <w:t>第五章  法律责任</w:t>
      </w:r>
    </w:p>
    <w:p>
      <w:pPr>
        <w:pStyle w:val="Normal"/>
        <w:spacing w:lineRule="exact" w:line="600"/>
        <w:ind w:firstLine="643" w:end="0"/>
        <w:rPr>
          <w:rFonts w:ascii="仿宋_GB2312;微软雅黑" w:hAnsi="仿宋_GB2312;微软雅黑"/>
          <w:b/>
          <w:color w:val="000000"/>
        </w:rPr>
      </w:pPr>
      <w:r>
        <w:rPr>
          <w:rFonts w:ascii="黑体;SimHei" w:hAnsi="黑体;SimHei" w:cs="宋体;SimSun" w:eastAsia="黑体;SimHei"/>
          <w:b/>
          <w:color w:val="000000"/>
          <w:kern w:val="0"/>
        </w:rPr>
        <w:t>第十八条</w:t>
      </w:r>
      <w:r>
        <w:rPr>
          <w:rFonts w:eastAsia="Times New Roman"/>
          <w:b/>
          <w:color w:val="000000"/>
        </w:rPr>
        <w:t xml:space="preserve"> </w:t>
      </w:r>
      <w:r>
        <w:rPr>
          <w:rFonts w:ascii="仿宋_GB2312;微软雅黑" w:hAnsi="仿宋_GB2312;微软雅黑"/>
          <w:b/>
          <w:color w:val="000000"/>
        </w:rPr>
        <w:t>学生在校内开展勤工助学活动的，学生及用人单位须遵守国家及学校勤工助学相关管理规定。学生在校外开展勤工助学活动的，学生资助管理中心必须经学校授权，代表学校与用人单位和学生三方签订具有法律效力的《华中农业大学大学生勤工助学三方协议书》并办理相关手续后，学生方可开展勤工助学活动。协议书必须明确学校、用人单位和学生等各方的权利和义务，开展勤工助学活动的学生如发生意外伤害事故的处理办法以及争议解决方法。</w:t>
      </w:r>
    </w:p>
    <w:p>
      <w:pPr>
        <w:pStyle w:val="Normal"/>
        <w:spacing w:lineRule="exact" w:line="600"/>
        <w:ind w:firstLine="643" w:end="0"/>
        <w:rPr>
          <w:rFonts w:ascii="仿宋_GB2312;微软雅黑" w:hAnsi="仿宋_GB2312;微软雅黑"/>
          <w:b/>
          <w:color w:val="000000"/>
        </w:rPr>
      </w:pPr>
      <w:r>
        <w:rPr>
          <w:rFonts w:ascii="黑体;SimHei" w:hAnsi="黑体;SimHei" w:cs="宋体;SimSun" w:eastAsia="黑体;SimHei"/>
          <w:b/>
          <w:color w:val="000000"/>
          <w:kern w:val="0"/>
        </w:rPr>
        <w:t>第十九条</w:t>
      </w:r>
      <w:r>
        <w:rPr>
          <w:rFonts w:ascii="仿宋_GB2312;微软雅黑" w:hAnsi="仿宋_GB2312;微软雅黑"/>
          <w:b/>
          <w:color w:val="000000"/>
        </w:rPr>
        <w:t xml:space="preserve"> </w:t>
      </w:r>
      <w:r>
        <w:rPr>
          <w:rFonts w:ascii="仿宋_GB2312;微软雅黑" w:hAnsi="仿宋_GB2312;微软雅黑"/>
          <w:b/>
          <w:color w:val="000000"/>
        </w:rPr>
        <w:t>在勤工助学活动中，若出现协议纠纷或学生意外伤害事故，协议各方应按照签订的协议协商解决。如不能达成一致意见，按照有关法律法规规定的程序办理。</w:t>
      </w:r>
    </w:p>
    <w:p>
      <w:pPr>
        <w:pStyle w:val="Style17"/>
        <w:spacing w:lineRule="exact" w:line="600" w:before="0" w:after="0"/>
        <w:jc w:val="center"/>
        <w:rPr>
          <w:rStyle w:val="Strong"/>
          <w:rFonts w:ascii="黑体;SimHei" w:hAnsi="黑体;SimHei" w:eastAsia="黑体;SimHei" w:cs="黑体;SimHei"/>
          <w:color w:val="000000"/>
          <w:sz w:val="32"/>
          <w:szCs w:val="32"/>
        </w:rPr>
      </w:pPr>
      <w:r>
        <w:rPr>
          <w:rFonts w:ascii="仿宋_GB2312;微软雅黑" w:hAnsi="仿宋_GB2312;微软雅黑"/>
          <w:b/>
          <w:color w:val="000000"/>
        </w:rPr>
      </w:r>
    </w:p>
    <w:p>
      <w:pPr>
        <w:pStyle w:val="Style17"/>
        <w:spacing w:lineRule="exact" w:line="600" w:before="0" w:after="0"/>
        <w:jc w:val="center"/>
        <w:rPr>
          <w:rStyle w:val="Strong"/>
          <w:rFonts w:ascii="黑体;SimHei" w:hAnsi="黑体;SimHei" w:eastAsia="黑体;SimHei" w:cs="黑体;SimHei"/>
          <w:color w:val="000000"/>
          <w:sz w:val="32"/>
          <w:szCs w:val="32"/>
        </w:rPr>
      </w:pPr>
      <w:r>
        <w:rPr>
          <w:rStyle w:val="Strong"/>
          <w:rFonts w:ascii="黑体;SimHei" w:hAnsi="黑体;SimHei" w:cs="黑体;SimHei" w:eastAsia="黑体;SimHei"/>
          <w:color w:val="000000"/>
          <w:sz w:val="32"/>
          <w:szCs w:val="32"/>
        </w:rPr>
        <w:t>第六章　附 则</w:t>
      </w:r>
    </w:p>
    <w:p>
      <w:pPr>
        <w:pStyle w:val="Normal"/>
        <w:spacing w:lineRule="exact" w:line="600"/>
        <w:ind w:firstLine="643" w:end="0"/>
        <w:rPr>
          <w:rFonts w:ascii="仿宋_GB2312;微软雅黑" w:hAnsi="仿宋_GB2312;微软雅黑"/>
          <w:b/>
          <w:color w:val="000000"/>
        </w:rPr>
      </w:pPr>
      <w:r>
        <w:rPr>
          <w:rFonts w:ascii="黑体;SimHei" w:hAnsi="黑体;SimHei" w:cs="宋体;SimSun" w:eastAsia="黑体;SimHei"/>
          <w:b/>
          <w:color w:val="000000"/>
          <w:kern w:val="0"/>
        </w:rPr>
        <w:t>第二十条</w:t>
      </w:r>
      <w:r>
        <w:rPr>
          <w:rFonts w:eastAsia="Times New Roman"/>
          <w:b/>
          <w:color w:val="000000"/>
        </w:rPr>
        <w:t xml:space="preserve"> </w:t>
      </w:r>
      <w:r>
        <w:rPr>
          <w:rFonts w:ascii="仿宋_GB2312;微软雅黑" w:hAnsi="仿宋_GB2312;微软雅黑"/>
          <w:b/>
          <w:color w:val="000000"/>
        </w:rPr>
        <w:t>研究生“三助一辅”勤工助学活动按照《关于印发〈华中农业大学研究生“三助一辅”实施办法（试行）〉及其相关实施细则的通知》（校发〔</w:t>
      </w:r>
      <w:r>
        <w:rPr>
          <w:rFonts w:ascii="仿宋_GB2312;微软雅黑" w:hAnsi="仿宋_GB2312;微软雅黑"/>
          <w:b/>
          <w:color w:val="000000"/>
        </w:rPr>
        <w:t>2019</w:t>
      </w:r>
      <w:r>
        <w:rPr>
          <w:rFonts w:ascii="仿宋_GB2312;微软雅黑" w:hAnsi="仿宋_GB2312;微软雅黑"/>
          <w:b/>
          <w:color w:val="000000"/>
        </w:rPr>
        <w:t>〕</w:t>
      </w:r>
      <w:r>
        <w:rPr>
          <w:rFonts w:ascii="仿宋_GB2312;微软雅黑" w:hAnsi="仿宋_GB2312;微软雅黑"/>
          <w:b/>
          <w:color w:val="000000"/>
        </w:rPr>
        <w:t>56</w:t>
      </w:r>
      <w:r>
        <w:rPr>
          <w:rFonts w:ascii="仿宋_GB2312;微软雅黑" w:hAnsi="仿宋_GB2312;微软雅黑"/>
          <w:b/>
          <w:color w:val="000000"/>
        </w:rPr>
        <w:t>号）执行。</w:t>
      </w:r>
    </w:p>
    <w:p>
      <w:pPr>
        <w:pStyle w:val="Normal"/>
        <w:spacing w:lineRule="exact" w:line="600"/>
        <w:ind w:firstLine="643" w:end="0"/>
        <w:rPr>
          <w:rFonts w:ascii="仿宋_GB2312;微软雅黑" w:hAnsi="仿宋_GB2312;微软雅黑"/>
          <w:b/>
          <w:color w:val="000000"/>
        </w:rPr>
      </w:pPr>
      <w:r>
        <w:rPr>
          <w:rFonts w:ascii="黑体;SimHei" w:hAnsi="黑体;SimHei" w:cs="宋体;SimSun" w:eastAsia="黑体;SimHei"/>
          <w:b/>
          <w:color w:val="000000"/>
          <w:kern w:val="0"/>
        </w:rPr>
        <w:t>第二十一条</w:t>
      </w:r>
      <w:r>
        <w:rPr>
          <w:rFonts w:eastAsia="Times New Roman"/>
          <w:b/>
          <w:color w:val="000000"/>
        </w:rPr>
        <w:t xml:space="preserve"> </w:t>
      </w:r>
      <w:r>
        <w:rPr>
          <w:rFonts w:ascii="仿宋_GB2312;微软雅黑" w:hAnsi="仿宋_GB2312;微软雅黑"/>
          <w:b/>
          <w:color w:val="000000"/>
        </w:rPr>
        <w:t>本办法自印发之日起实施，由学生资助管理中心负责解释。原《华中农业大学勤工助学管理办法》（校发〔</w:t>
      </w:r>
      <w:r>
        <w:rPr>
          <w:rFonts w:ascii="仿宋_GB2312;微软雅黑" w:hAnsi="仿宋_GB2312;微软雅黑"/>
          <w:b/>
          <w:color w:val="000000"/>
        </w:rPr>
        <w:t>2007</w:t>
      </w:r>
      <w:r>
        <w:rPr>
          <w:rFonts w:ascii="仿宋_GB2312;微软雅黑" w:hAnsi="仿宋_GB2312;微软雅黑"/>
          <w:b/>
          <w:color w:val="000000"/>
        </w:rPr>
        <w:t>〕</w:t>
      </w:r>
      <w:r>
        <w:rPr>
          <w:rFonts w:ascii="仿宋_GB2312;微软雅黑" w:hAnsi="仿宋_GB2312;微软雅黑"/>
          <w:b/>
          <w:color w:val="000000"/>
        </w:rPr>
        <w:t>200</w:t>
      </w:r>
      <w:r>
        <w:rPr>
          <w:rFonts w:ascii="仿宋_GB2312;微软雅黑" w:hAnsi="仿宋_GB2312;微软雅黑"/>
          <w:b/>
          <w:color w:val="000000"/>
        </w:rPr>
        <w:t>号）同时废止。</w:t>
      </w:r>
    </w:p>
    <w:p>
      <w:pPr>
        <w:pStyle w:val="Normal"/>
        <w:spacing w:lineRule="exact" w:line="600"/>
        <w:rPr>
          <w:rFonts w:ascii="仿宋_GB2312;微软雅黑" w:hAnsi="仿宋_GB2312;微软雅黑"/>
          <w:b/>
          <w:color w:val="000000"/>
        </w:rPr>
      </w:pPr>
      <w:r>
        <w:rPr>
          <w:rFonts w:ascii="仿宋_GB2312;微软雅黑" w:hAnsi="仿宋_GB2312;微软雅黑"/>
          <w:b/>
          <w:color w:val="000000"/>
        </w:rPr>
      </w:r>
    </w:p>
    <w:p>
      <w:pPr>
        <w:pStyle w:val="Normal"/>
        <w:spacing w:lineRule="exact" w:line="600"/>
        <w:rPr>
          <w:b/>
          <w:color w:val="000000"/>
        </w:rPr>
      </w:pPr>
      <w:r>
        <w:rPr>
          <w:b/>
          <w:color w:val="000000"/>
        </w:rPr>
      </w:r>
    </w:p>
    <w:p>
      <w:pPr>
        <w:pStyle w:val="Normal"/>
        <w:spacing w:lineRule="exact" w:line="600"/>
        <w:rPr>
          <w:b/>
          <w:color w:val="000000"/>
        </w:rPr>
      </w:pPr>
      <w:r>
        <w:rPr>
          <w:b/>
          <w:color w:val="000000"/>
        </w:rPr>
      </w:r>
    </w:p>
    <w:p>
      <w:pPr>
        <w:pStyle w:val="Normal"/>
        <w:spacing w:lineRule="exact" w:line="600"/>
        <w:rPr>
          <w:b/>
          <w:color w:val="000000"/>
        </w:rPr>
      </w:pPr>
      <w:r>
        <w:rPr>
          <w:b/>
          <w:color w:val="000000"/>
        </w:rPr>
      </w:r>
    </w:p>
    <w:p>
      <w:pPr>
        <w:pStyle w:val="Normal"/>
        <w:spacing w:lineRule="exact" w:line="600"/>
        <w:rPr>
          <w:b/>
          <w:color w:val="000000"/>
        </w:rPr>
      </w:pPr>
      <w:r>
        <w:rPr>
          <w:b/>
          <w:color w:val="000000"/>
        </w:rPr>
      </w:r>
    </w:p>
    <w:p>
      <w:pPr>
        <w:pStyle w:val="Normal"/>
        <w:spacing w:lineRule="exact" w:line="600"/>
        <w:rPr>
          <w:b/>
          <w:color w:val="000000"/>
        </w:rPr>
      </w:pPr>
      <w:r>
        <w:rPr>
          <w:b/>
          <w:color w:val="000000"/>
        </w:rPr>
      </w:r>
    </w:p>
    <w:p>
      <w:pPr>
        <w:pStyle w:val="Normal"/>
        <w:spacing w:lineRule="exact" w:line="600"/>
        <w:rPr>
          <w:b/>
          <w:color w:val="000000"/>
        </w:rPr>
      </w:pPr>
      <w:r>
        <w:rPr>
          <w:b/>
          <w:color w:val="000000"/>
        </w:rPr>
      </w:r>
    </w:p>
    <w:p>
      <w:pPr>
        <w:pStyle w:val="Normal"/>
        <w:spacing w:lineRule="exact" w:line="600"/>
        <w:rPr>
          <w:b/>
          <w:color w:val="000000"/>
        </w:rPr>
      </w:pPr>
      <w:r>
        <w:rPr>
          <w:b/>
          <w:color w:val="000000"/>
        </w:rPr>
      </w:r>
    </w:p>
    <w:p>
      <w:pPr>
        <w:pStyle w:val="Normal"/>
        <w:spacing w:lineRule="exact" w:line="600"/>
        <w:rPr>
          <w:b/>
          <w:color w:val="000000"/>
        </w:rPr>
      </w:pPr>
      <w:r>
        <w:rPr>
          <w:b/>
          <w:color w:val="000000"/>
        </w:rPr>
      </w:r>
      <w:r>
        <mc:AlternateContent>
          <mc:Choice Requires="wps">
            <w:drawing>
              <wp:anchor behindDoc="0" distT="0" distB="0" distL="114935" distR="114935" simplePos="0" locked="0" layoutInCell="0" allowOverlap="1" relativeHeight="2">
                <wp:simplePos x="0" y="0"/>
                <wp:positionH relativeFrom="column">
                  <wp:align>center</wp:align>
                </wp:positionH>
                <wp:positionV relativeFrom="margin">
                  <wp:align>bottom</wp:align>
                </wp:positionV>
                <wp:extent cx="5896610" cy="393700"/>
                <wp:effectExtent l="0" t="0" r="0" b="0"/>
                <wp:wrapSquare wrapText="bothSides"/>
                <wp:docPr id="1" name="框架1"/>
                <a:graphic xmlns:a="http://schemas.openxmlformats.org/drawingml/2006/main">
                  <a:graphicData uri="http://schemas.microsoft.com/office/word/2010/wordprocessingShape">
                    <wps:wsp>
                      <wps:cNvSpPr txBox="1"/>
                      <wps:spPr>
                        <a:xfrm>
                          <a:off x="0" y="0"/>
                          <a:ext cx="5896610" cy="393700"/>
                        </a:xfrm>
                        <a:prstGeom prst="rect"/>
                        <a:solidFill>
                          <a:srgbClr val="FFFFFF">
                            <a:alpha val="0"/>
                          </a:srgbClr>
                        </a:solidFill>
                      </wps:spPr>
                      <wps:txbx>
                        <w:txbxContent>
                          <w:tbl>
                            <w:tblPr>
                              <w:tblW w:w="9286" w:type="dxa"/>
                              <w:jc w:val="start"/>
                              <w:tblInd w:w="108" w:type="dxa"/>
                              <w:tblLayout w:type="fixed"/>
                              <w:tblCellMar>
                                <w:top w:w="0" w:type="dxa"/>
                                <w:start w:w="108" w:type="dxa"/>
                                <w:bottom w:w="0" w:type="dxa"/>
                                <w:end w:w="108" w:type="dxa"/>
                              </w:tblCellMar>
                            </w:tblPr>
                            <w:tblGrid>
                              <w:gridCol w:w="3708"/>
                              <w:gridCol w:w="5578"/>
                            </w:tblGrid>
                            <w:tr>
                              <w:trPr/>
                              <w:tc>
                                <w:tcPr>
                                  <w:tcW w:w="3708" w:type="dxa"/>
                                  <w:tcBorders>
                                    <w:top w:val="single" w:sz="4" w:space="0" w:color="000000"/>
                                    <w:bottom w:val="single" w:sz="4" w:space="0" w:color="000000"/>
                                  </w:tcBorders>
                                </w:tcPr>
                                <w:p>
                                  <w:pPr>
                                    <w:pStyle w:val="Normal"/>
                                    <w:spacing w:lineRule="exact" w:line="600"/>
                                    <w:ind w:firstLine="280" w:end="0"/>
                                    <w:rPr>
                                      <w:rFonts w:ascii="仿宋_GB2312;微软雅黑" w:hAnsi="仿宋_GB2312;微软雅黑"/>
                                      <w:b/>
                                      <w:color w:val="000000"/>
                                      <w:sz w:val="28"/>
                                      <w:szCs w:val="28"/>
                                    </w:rPr>
                                  </w:pPr>
                                  <w:r>
                                    <w:rPr>
                                      <w:rFonts w:ascii="仿宋_GB2312;微软雅黑" w:hAnsi="仿宋_GB2312;微软雅黑"/>
                                      <w:b/>
                                      <w:color w:val="000000"/>
                                      <w:sz w:val="28"/>
                                      <w:szCs w:val="28"/>
                                    </w:rPr>
                                    <w:t>华中农业大学办公室</w:t>
                                  </w:r>
                                </w:p>
                              </w:tc>
                              <w:tc>
                                <w:tcPr>
                                  <w:tcW w:w="5578" w:type="dxa"/>
                                  <w:tcBorders>
                                    <w:top w:val="single" w:sz="4" w:space="0" w:color="000000"/>
                                    <w:bottom w:val="single" w:sz="4" w:space="0" w:color="000000"/>
                                  </w:tcBorders>
                                </w:tcPr>
                                <w:p>
                                  <w:pPr>
                                    <w:pStyle w:val="Normal"/>
                                    <w:spacing w:lineRule="exact" w:line="600"/>
                                    <w:ind w:end="281"/>
                                    <w:jc w:val="end"/>
                                    <w:rPr>
                                      <w:rFonts w:ascii="仿宋_GB2312;微软雅黑" w:hAnsi="仿宋_GB2312;微软雅黑"/>
                                      <w:b/>
                                      <w:color w:val="000000"/>
                                      <w:sz w:val="28"/>
                                      <w:szCs w:val="28"/>
                                    </w:rPr>
                                  </w:pPr>
                                  <w:bookmarkStart w:id="3" w:name="印制日期"/>
                                  <w:bookmarkEnd w:id="3"/>
                                  <w:r>
                                    <w:rPr>
                                      <w:rFonts w:ascii="仿宋_GB2312;微软雅黑" w:hAnsi="仿宋_GB2312;微软雅黑"/>
                                      <w:b/>
                                      <w:color w:val="000000"/>
                                      <w:sz w:val="28"/>
                                      <w:szCs w:val="28"/>
                                    </w:rPr>
                                    <w:t>2019</w:t>
                                  </w:r>
                                  <w:r>
                                    <w:rPr>
                                      <w:rFonts w:ascii="仿宋_GB2312;微软雅黑" w:hAnsi="仿宋_GB2312;微软雅黑"/>
                                      <w:b/>
                                      <w:color w:val="000000"/>
                                      <w:sz w:val="28"/>
                                      <w:szCs w:val="28"/>
                                    </w:rPr>
                                    <w:t>年</w:t>
                                  </w:r>
                                  <w:r>
                                    <w:rPr>
                                      <w:rFonts w:ascii="仿宋_GB2312;微软雅黑" w:hAnsi="仿宋_GB2312;微软雅黑"/>
                                      <w:b/>
                                      <w:color w:val="000000"/>
                                      <w:sz w:val="28"/>
                                      <w:szCs w:val="28"/>
                                    </w:rPr>
                                    <w:t>6</w:t>
                                  </w:r>
                                  <w:r>
                                    <w:rPr>
                                      <w:rFonts w:ascii="仿宋_GB2312;微软雅黑" w:hAnsi="仿宋_GB2312;微软雅黑"/>
                                      <w:b/>
                                      <w:color w:val="000000"/>
                                      <w:sz w:val="28"/>
                                      <w:szCs w:val="28"/>
                                    </w:rPr>
                                    <w:t>月</w:t>
                                  </w:r>
                                  <w:r>
                                    <w:rPr>
                                      <w:rFonts w:ascii="仿宋_GB2312;微软雅黑" w:hAnsi="仿宋_GB2312;微软雅黑"/>
                                      <w:b/>
                                      <w:color w:val="000000"/>
                                      <w:sz w:val="28"/>
                                      <w:szCs w:val="28"/>
                                    </w:rPr>
                                    <w:t>25</w:t>
                                  </w:r>
                                  <w:r>
                                    <w:rPr>
                                      <w:rFonts w:ascii="仿宋_GB2312;微软雅黑" w:hAnsi="仿宋_GB2312;微软雅黑"/>
                                      <w:b/>
                                      <w:color w:val="000000"/>
                                      <w:sz w:val="28"/>
                                      <w:szCs w:val="28"/>
                                    </w:rPr>
                                    <w:t>日印发</w:t>
                                  </w:r>
                                </w:p>
                              </w:tc>
                            </w:tr>
                          </w:tbl>
                        </w:txbxContent>
                      </wps:txbx>
                      <wps:bodyPr anchor="t" lIns="0" tIns="0" rIns="0" bIns="0">
                        <a:noAutofit/>
                      </wps:bodyPr>
                    </wps:wsp>
                  </a:graphicData>
                </a:graphic>
              </wp:anchor>
            </w:drawing>
          </mc:Choice>
          <mc:Fallback>
            <w:pict>
              <v:rect fillcolor="#FFFFFF" style="position:absolute;rotation:-0;width:464.3pt;height:31pt;mso-wrap-distance-left:9.05pt;mso-wrap-distance-right:9.05pt;mso-wrap-distance-top:0pt;mso-wrap-distance-bottom:0pt;margin-top:660.6pt;mso-position-vertical:bottom;mso-position-vertical-relative:margin;margin-left:-5.4pt;mso-position-horizontal:center;mso-position-horizontal-relative:text">
                <v:fill opacity="0f"/>
                <v:textbox inset="0in,0in,0in,0in">
                  <w:txbxContent>
                    <w:tbl>
                      <w:tblPr>
                        <w:tblW w:w="9286" w:type="dxa"/>
                        <w:jc w:val="start"/>
                        <w:tblInd w:w="108" w:type="dxa"/>
                        <w:tblLayout w:type="fixed"/>
                        <w:tblCellMar>
                          <w:top w:w="0" w:type="dxa"/>
                          <w:start w:w="108" w:type="dxa"/>
                          <w:bottom w:w="0" w:type="dxa"/>
                          <w:end w:w="108" w:type="dxa"/>
                        </w:tblCellMar>
                      </w:tblPr>
                      <w:tblGrid>
                        <w:gridCol w:w="3708"/>
                        <w:gridCol w:w="5578"/>
                      </w:tblGrid>
                      <w:tr>
                        <w:trPr/>
                        <w:tc>
                          <w:tcPr>
                            <w:tcW w:w="3708" w:type="dxa"/>
                            <w:tcBorders>
                              <w:top w:val="single" w:sz="4" w:space="0" w:color="000000"/>
                              <w:bottom w:val="single" w:sz="4" w:space="0" w:color="000000"/>
                            </w:tcBorders>
                          </w:tcPr>
                          <w:p>
                            <w:pPr>
                              <w:pStyle w:val="Normal"/>
                              <w:spacing w:lineRule="exact" w:line="600"/>
                              <w:ind w:firstLine="280" w:end="0"/>
                              <w:rPr>
                                <w:rFonts w:ascii="仿宋_GB2312;微软雅黑" w:hAnsi="仿宋_GB2312;微软雅黑"/>
                                <w:b/>
                                <w:color w:val="000000"/>
                                <w:sz w:val="28"/>
                                <w:szCs w:val="28"/>
                              </w:rPr>
                            </w:pPr>
                            <w:r>
                              <w:rPr>
                                <w:rFonts w:ascii="仿宋_GB2312;微软雅黑" w:hAnsi="仿宋_GB2312;微软雅黑"/>
                                <w:b/>
                                <w:color w:val="000000"/>
                                <w:sz w:val="28"/>
                                <w:szCs w:val="28"/>
                              </w:rPr>
                              <w:t>华中农业大学办公室</w:t>
                            </w:r>
                          </w:p>
                        </w:tc>
                        <w:tc>
                          <w:tcPr>
                            <w:tcW w:w="5578" w:type="dxa"/>
                            <w:tcBorders>
                              <w:top w:val="single" w:sz="4" w:space="0" w:color="000000"/>
                              <w:bottom w:val="single" w:sz="4" w:space="0" w:color="000000"/>
                            </w:tcBorders>
                          </w:tcPr>
                          <w:p>
                            <w:pPr>
                              <w:pStyle w:val="Normal"/>
                              <w:spacing w:lineRule="exact" w:line="600"/>
                              <w:ind w:end="281"/>
                              <w:jc w:val="end"/>
                              <w:rPr>
                                <w:rFonts w:ascii="仿宋_GB2312;微软雅黑" w:hAnsi="仿宋_GB2312;微软雅黑"/>
                                <w:b/>
                                <w:color w:val="000000"/>
                                <w:sz w:val="28"/>
                                <w:szCs w:val="28"/>
                              </w:rPr>
                            </w:pPr>
                            <w:bookmarkStart w:id="4" w:name="印制日期"/>
                            <w:bookmarkEnd w:id="4"/>
                            <w:r>
                              <w:rPr>
                                <w:rFonts w:ascii="仿宋_GB2312;微软雅黑" w:hAnsi="仿宋_GB2312;微软雅黑"/>
                                <w:b/>
                                <w:color w:val="000000"/>
                                <w:sz w:val="28"/>
                                <w:szCs w:val="28"/>
                              </w:rPr>
                              <w:t>2019</w:t>
                            </w:r>
                            <w:r>
                              <w:rPr>
                                <w:rFonts w:ascii="仿宋_GB2312;微软雅黑" w:hAnsi="仿宋_GB2312;微软雅黑"/>
                                <w:b/>
                                <w:color w:val="000000"/>
                                <w:sz w:val="28"/>
                                <w:szCs w:val="28"/>
                              </w:rPr>
                              <w:t>年</w:t>
                            </w:r>
                            <w:r>
                              <w:rPr>
                                <w:rFonts w:ascii="仿宋_GB2312;微软雅黑" w:hAnsi="仿宋_GB2312;微软雅黑"/>
                                <w:b/>
                                <w:color w:val="000000"/>
                                <w:sz w:val="28"/>
                                <w:szCs w:val="28"/>
                              </w:rPr>
                              <w:t>6</w:t>
                            </w:r>
                            <w:r>
                              <w:rPr>
                                <w:rFonts w:ascii="仿宋_GB2312;微软雅黑" w:hAnsi="仿宋_GB2312;微软雅黑"/>
                                <w:b/>
                                <w:color w:val="000000"/>
                                <w:sz w:val="28"/>
                                <w:szCs w:val="28"/>
                              </w:rPr>
                              <w:t>月</w:t>
                            </w:r>
                            <w:r>
                              <w:rPr>
                                <w:rFonts w:ascii="仿宋_GB2312;微软雅黑" w:hAnsi="仿宋_GB2312;微软雅黑"/>
                                <w:b/>
                                <w:color w:val="000000"/>
                                <w:sz w:val="28"/>
                                <w:szCs w:val="28"/>
                              </w:rPr>
                              <w:t>25</w:t>
                            </w:r>
                            <w:r>
                              <w:rPr>
                                <w:rFonts w:ascii="仿宋_GB2312;微软雅黑" w:hAnsi="仿宋_GB2312;微软雅黑"/>
                                <w:b/>
                                <w:color w:val="000000"/>
                                <w:sz w:val="28"/>
                                <w:szCs w:val="28"/>
                              </w:rPr>
                              <w:t>日印发</w:t>
                            </w:r>
                          </w:p>
                        </w:tc>
                      </w:tr>
                    </w:tbl>
                  </w:txbxContent>
                </v:textbox>
                <w10:wrap type="square"/>
              </v:rect>
            </w:pict>
          </mc:Fallback>
        </mc:AlternateContent>
      </w:r>
    </w:p>
    <w:sectPr>
      <w:footerReference w:type="even" r:id="rId2"/>
      <w:footerReference w:type="default" r:id="rId3"/>
      <w:type w:val="nextPage"/>
      <w:pgSz w:w="11906" w:h="16838"/>
      <w:pgMar w:left="1418" w:right="1418" w:gutter="0" w:header="0" w:top="1588" w:footer="992" w:bottom="141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宋体">
    <w:altName w:val="SimSun"/>
    <w:charset w:val="86"/>
    <w:family w:val="auto"/>
    <w:pitch w:val="variable"/>
  </w:font>
  <w:font w:name="仿宋_GB2312">
    <w:altName w:val="微软雅黑"/>
    <w:charset w:val="86"/>
    <w:family w:val="modern"/>
    <w:pitch w:val="default"/>
  </w:font>
  <w:font w:name="方正小标宋简体">
    <w:altName w:val="微软雅黑"/>
    <w:charset w:val="86"/>
    <w:family w:val="auto"/>
    <w:pitch w:val="variable"/>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behindDoc="0" distT="0" distB="0" distL="0" distR="0" simplePos="0" locked="0" layoutInCell="0" allowOverlap="1" relativeHeight="8">
              <wp:simplePos x="0" y="0"/>
              <wp:positionH relativeFrom="rightMargin">
                <wp:posOffset>-1438910</wp:posOffset>
              </wp:positionH>
              <wp:positionV relativeFrom="paragraph">
                <wp:posOffset>4445</wp:posOffset>
              </wp:positionV>
              <wp:extent cx="1438910" cy="177800"/>
              <wp:effectExtent l="0" t="0" r="0" b="0"/>
              <wp:wrapSquare wrapText="bothSides"/>
              <wp:docPr id="2" name="框架3"/>
              <a:graphic xmlns:a="http://schemas.openxmlformats.org/drawingml/2006/main">
                <a:graphicData uri="http://schemas.microsoft.com/office/word/2010/wordprocessingShape">
                  <wps:wsp>
                    <wps:cNvSpPr txBox="1"/>
                    <wps:spPr>
                      <a:xfrm>
                        <a:off x="0" y="0"/>
                        <a:ext cx="1438910" cy="177800"/>
                      </a:xfrm>
                      <a:prstGeom prst="rect"/>
                      <a:solidFill>
                        <a:srgbClr val="FFFFFF">
                          <a:alpha val="0"/>
                        </a:srgbClr>
                      </a:solidFill>
                    </wps:spPr>
                    <wps:txbx>
                      <w:txbxContent>
                        <w:p>
                          <w:pPr>
                            <w:pStyle w:val="Footer"/>
                            <w:ind w:firstLine="280" w:end="0"/>
                            <w:rPr>
                              <w:rStyle w:val="PageNumber"/>
                              <w:rFonts w:ascii="宋体;SimSun" w:hAnsi="宋体;SimSun" w:eastAsia="宋体;SimSun" w:cs="宋体;SimSun"/>
                              <w:sz w:val="28"/>
                              <w:szCs w:val="28"/>
                            </w:rPr>
                          </w:pPr>
                          <w:r>
                            <w:rPr>
                              <w:rStyle w:val="PageNumber"/>
                              <w:rFonts w:ascii="宋体;SimSun" w:hAnsi="宋体;SimSun" w:cs="宋体;SimSun" w:eastAsia="宋体;SimSun"/>
                              <w:sz w:val="28"/>
                              <w:szCs w:val="28"/>
                            </w:rPr>
                            <w:t xml:space="preserve">— </w:t>
                          </w:r>
                          <w:r>
                            <w:rPr>
                              <w:rStyle w:val="PageNumber"/>
                              <w:rFonts w:ascii="宋体;SimSun" w:hAnsi="宋体;SimSun" w:cs="宋体;SimSun" w:eastAsia="宋体;SimSun"/>
                              <w:sz w:val="28"/>
                              <w:szCs w:val="28"/>
                            </w:rPr>
                            <w:fldChar w:fldCharType="begin"/>
                          </w:r>
                          <w:r>
                            <w:rPr>
                              <w:rStyle w:val="PageNumber"/>
                              <w:sz w:val="28"/>
                              <w:szCs w:val="28"/>
                              <w:rFonts w:ascii="宋体;SimSun" w:hAnsi="宋体;SimSun" w:cs="宋体;SimSun" w:eastAsia="宋体;SimSun"/>
                            </w:rPr>
                            <w:instrText xml:space="preserve"> PAGE </w:instrText>
                          </w:r>
                          <w:r>
                            <w:rPr>
                              <w:rStyle w:val="PageNumber"/>
                              <w:sz w:val="28"/>
                              <w:szCs w:val="28"/>
                              <w:rFonts w:ascii="宋体;SimSun" w:hAnsi="宋体;SimSun" w:cs="宋体;SimSun" w:eastAsia="宋体;SimSun"/>
                            </w:rPr>
                            <w:fldChar w:fldCharType="separate"/>
                          </w:r>
                          <w:r>
                            <w:rPr>
                              <w:rStyle w:val="PageNumber"/>
                              <w:sz w:val="28"/>
                              <w:szCs w:val="28"/>
                              <w:rFonts w:ascii="宋体;SimSun" w:hAnsi="宋体;SimSun" w:cs="宋体;SimSun" w:eastAsia="宋体;SimSun"/>
                            </w:rPr>
                            <w:t>6</w:t>
                          </w:r>
                          <w:r>
                            <w:rPr>
                              <w:rStyle w:val="PageNumber"/>
                              <w:sz w:val="28"/>
                              <w:szCs w:val="28"/>
                              <w:rFonts w:ascii="宋体;SimSun" w:hAnsi="宋体;SimSun" w:cs="宋体;SimSun" w:eastAsia="宋体;SimSun"/>
                            </w:rPr>
                            <w:fldChar w:fldCharType="end"/>
                          </w:r>
                          <w:r>
                            <w:rPr>
                              <w:rStyle w:val="PageNumber"/>
                              <w:rFonts w:ascii="宋体;SimSun" w:hAnsi="宋体;SimSun" w:cs="宋体;SimSun" w:eastAsia="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113.3pt;height:14pt;mso-wrap-distance-left:0pt;mso-wrap-distance-right:0pt;mso-wrap-distance-top:0pt;mso-wrap-distance-bottom:0pt;margin-top:0.35pt;mso-position-vertical-relative:text;margin-left:-113.3pt;mso-position-horizontal-relative:text">
              <v:fill opacity="0f"/>
              <v:textbox inset="0in,0in,0in,0in">
                <w:txbxContent>
                  <w:p>
                    <w:pPr>
                      <w:pStyle w:val="Footer"/>
                      <w:ind w:firstLine="280" w:end="0"/>
                      <w:rPr>
                        <w:rStyle w:val="PageNumber"/>
                        <w:rFonts w:ascii="宋体;SimSun" w:hAnsi="宋体;SimSun" w:eastAsia="宋体;SimSun" w:cs="宋体;SimSun"/>
                        <w:sz w:val="28"/>
                        <w:szCs w:val="28"/>
                      </w:rPr>
                    </w:pPr>
                    <w:r>
                      <w:rPr>
                        <w:rStyle w:val="PageNumber"/>
                        <w:rFonts w:ascii="宋体;SimSun" w:hAnsi="宋体;SimSun" w:cs="宋体;SimSun" w:eastAsia="宋体;SimSun"/>
                        <w:sz w:val="28"/>
                        <w:szCs w:val="28"/>
                      </w:rPr>
                      <w:t xml:space="preserve">— </w:t>
                    </w:r>
                    <w:r>
                      <w:rPr>
                        <w:rStyle w:val="PageNumber"/>
                        <w:rFonts w:ascii="宋体;SimSun" w:hAnsi="宋体;SimSun" w:cs="宋体;SimSun" w:eastAsia="宋体;SimSun"/>
                        <w:sz w:val="28"/>
                        <w:szCs w:val="28"/>
                      </w:rPr>
                      <w:fldChar w:fldCharType="begin"/>
                    </w:r>
                    <w:r>
                      <w:rPr>
                        <w:rStyle w:val="PageNumber"/>
                        <w:sz w:val="28"/>
                        <w:szCs w:val="28"/>
                        <w:rFonts w:ascii="宋体;SimSun" w:hAnsi="宋体;SimSun" w:cs="宋体;SimSun" w:eastAsia="宋体;SimSun"/>
                      </w:rPr>
                      <w:instrText xml:space="preserve"> PAGE </w:instrText>
                    </w:r>
                    <w:r>
                      <w:rPr>
                        <w:rStyle w:val="PageNumber"/>
                        <w:sz w:val="28"/>
                        <w:szCs w:val="28"/>
                        <w:rFonts w:ascii="宋体;SimSun" w:hAnsi="宋体;SimSun" w:cs="宋体;SimSun" w:eastAsia="宋体;SimSun"/>
                      </w:rPr>
                      <w:fldChar w:fldCharType="separate"/>
                    </w:r>
                    <w:r>
                      <w:rPr>
                        <w:rStyle w:val="PageNumber"/>
                        <w:sz w:val="28"/>
                        <w:szCs w:val="28"/>
                        <w:rFonts w:ascii="宋体;SimSun" w:hAnsi="宋体;SimSun" w:cs="宋体;SimSun" w:eastAsia="宋体;SimSun"/>
                      </w:rPr>
                      <w:t>6</w:t>
                    </w:r>
                    <w:r>
                      <w:rPr>
                        <w:rStyle w:val="PageNumber"/>
                        <w:sz w:val="28"/>
                        <w:szCs w:val="28"/>
                        <w:rFonts w:ascii="宋体;SimSun" w:hAnsi="宋体;SimSun" w:cs="宋体;SimSun" w:eastAsia="宋体;SimSun"/>
                      </w:rPr>
                      <w:fldChar w:fldCharType="end"/>
                    </w:r>
                    <w:r>
                      <w:rPr>
                        <w:rStyle w:val="PageNumber"/>
                        <w:rFonts w:ascii="宋体;SimSun" w:hAnsi="宋体;SimSun" w:cs="宋体;SimSun" w:eastAsia="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behindDoc="0" distT="0" distB="0" distL="0" distR="0" simplePos="0" locked="0" layoutInCell="0" allowOverlap="1" relativeHeight="5">
              <wp:simplePos x="0" y="0"/>
              <wp:positionH relativeFrom="page">
                <wp:posOffset>5306060</wp:posOffset>
              </wp:positionH>
              <wp:positionV relativeFrom="paragraph">
                <wp:posOffset>4445</wp:posOffset>
              </wp:positionV>
              <wp:extent cx="1343660" cy="177800"/>
              <wp:effectExtent l="0" t="0" r="0" b="0"/>
              <wp:wrapSquare wrapText="bothSides"/>
              <wp:docPr id="3" name="框架2"/>
              <a:graphic xmlns:a="http://schemas.openxmlformats.org/drawingml/2006/main">
                <a:graphicData uri="http://schemas.microsoft.com/office/word/2010/wordprocessingShape">
                  <wps:wsp>
                    <wps:cNvSpPr txBox="1"/>
                    <wps:spPr>
                      <a:xfrm>
                        <a:off x="0" y="0"/>
                        <a:ext cx="1343660" cy="177800"/>
                      </a:xfrm>
                      <a:prstGeom prst="rect"/>
                      <a:solidFill>
                        <a:srgbClr val="FFFFFF">
                          <a:alpha val="0"/>
                        </a:srgbClr>
                      </a:solidFill>
                    </wps:spPr>
                    <wps:txbx>
                      <w:txbxContent>
                        <w:p>
                          <w:pPr>
                            <w:pStyle w:val="Footer"/>
                            <w:ind w:firstLine="840" w:end="0"/>
                            <w:rPr>
                              <w:rStyle w:val="PageNumber"/>
                              <w:rFonts w:ascii="宋体;SimSun" w:hAnsi="宋体;SimSun" w:eastAsia="宋体;SimSun" w:cs="宋体;SimSun"/>
                              <w:sz w:val="28"/>
                              <w:szCs w:val="28"/>
                            </w:rPr>
                          </w:pPr>
                          <w:r>
                            <w:rPr>
                              <w:rStyle w:val="PageNumber"/>
                              <w:rFonts w:ascii="宋体;SimSun" w:hAnsi="宋体;SimSun" w:cs="宋体;SimSun" w:eastAsia="宋体;SimSun"/>
                              <w:sz w:val="28"/>
                              <w:szCs w:val="28"/>
                            </w:rPr>
                            <w:t>—</w:t>
                          </w:r>
                          <w:r>
                            <w:rPr>
                              <w:rStyle w:val="PageNumber"/>
                              <w:rFonts w:ascii="宋体;SimSun" w:hAnsi="宋体;SimSun" w:cs="宋体;SimSun" w:eastAsia="宋体;SimSun"/>
                              <w:sz w:val="28"/>
                              <w:szCs w:val="28"/>
                            </w:rPr>
                            <w:t xml:space="preserve"> </w:t>
                          </w:r>
                          <w:r>
                            <w:rPr>
                              <w:rStyle w:val="PageNumber"/>
                              <w:rFonts w:ascii="宋体;SimSun" w:hAnsi="宋体;SimSun" w:cs="宋体;SimSun" w:eastAsia="宋体;SimSun"/>
                              <w:sz w:val="28"/>
                              <w:szCs w:val="28"/>
                            </w:rPr>
                            <w:fldChar w:fldCharType="begin"/>
                          </w:r>
                          <w:r>
                            <w:rPr>
                              <w:rStyle w:val="PageNumber"/>
                              <w:sz w:val="28"/>
                              <w:szCs w:val="28"/>
                              <w:rFonts w:ascii="宋体;SimSun" w:hAnsi="宋体;SimSun" w:cs="宋体;SimSun" w:eastAsia="宋体;SimSun"/>
                            </w:rPr>
                            <w:instrText xml:space="preserve"> PAGE </w:instrText>
                          </w:r>
                          <w:r>
                            <w:rPr>
                              <w:rStyle w:val="PageNumber"/>
                              <w:sz w:val="28"/>
                              <w:szCs w:val="28"/>
                              <w:rFonts w:ascii="宋体;SimSun" w:hAnsi="宋体;SimSun" w:cs="宋体;SimSun" w:eastAsia="宋体;SimSun"/>
                            </w:rPr>
                            <w:fldChar w:fldCharType="separate"/>
                          </w:r>
                          <w:r>
                            <w:rPr>
                              <w:rStyle w:val="PageNumber"/>
                              <w:sz w:val="28"/>
                              <w:szCs w:val="28"/>
                              <w:rFonts w:ascii="宋体;SimSun" w:hAnsi="宋体;SimSun" w:cs="宋体;SimSun" w:eastAsia="宋体;SimSun"/>
                            </w:rPr>
                            <w:t>5</w:t>
                          </w:r>
                          <w:r>
                            <w:rPr>
                              <w:rStyle w:val="PageNumber"/>
                              <w:sz w:val="28"/>
                              <w:szCs w:val="28"/>
                              <w:rFonts w:ascii="宋体;SimSun" w:hAnsi="宋体;SimSun" w:cs="宋体;SimSun" w:eastAsia="宋体;SimSun"/>
                            </w:rPr>
                            <w:fldChar w:fldCharType="end"/>
                          </w:r>
                          <w:r>
                            <w:rPr>
                              <w:rStyle w:val="PageNumber"/>
                              <w:rFonts w:ascii="宋体;SimSun" w:hAnsi="宋体;SimSun" w:cs="宋体;SimSun" w:eastAsia="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105.8pt;height:14pt;mso-wrap-distance-left:0pt;mso-wrap-distance-right:0pt;mso-wrap-distance-top:0pt;mso-wrap-distance-bottom:0pt;margin-top:0.35pt;mso-position-vertical-relative:text;margin-left:417.8pt;mso-position-horizontal-relative:page">
              <v:fill opacity="0f"/>
              <v:textbox inset="0in,0in,0in,0in">
                <w:txbxContent>
                  <w:p>
                    <w:pPr>
                      <w:pStyle w:val="Footer"/>
                      <w:ind w:firstLine="840" w:end="0"/>
                      <w:rPr>
                        <w:rStyle w:val="PageNumber"/>
                        <w:rFonts w:ascii="宋体;SimSun" w:hAnsi="宋体;SimSun" w:eastAsia="宋体;SimSun" w:cs="宋体;SimSun"/>
                        <w:sz w:val="28"/>
                        <w:szCs w:val="28"/>
                      </w:rPr>
                    </w:pPr>
                    <w:r>
                      <w:rPr>
                        <w:rStyle w:val="PageNumber"/>
                        <w:rFonts w:ascii="宋体;SimSun" w:hAnsi="宋体;SimSun" w:cs="宋体;SimSun" w:eastAsia="宋体;SimSun"/>
                        <w:sz w:val="28"/>
                        <w:szCs w:val="28"/>
                      </w:rPr>
                      <w:t>—</w:t>
                    </w:r>
                    <w:r>
                      <w:rPr>
                        <w:rStyle w:val="PageNumber"/>
                        <w:rFonts w:ascii="宋体;SimSun" w:hAnsi="宋体;SimSun" w:cs="宋体;SimSun" w:eastAsia="宋体;SimSun"/>
                        <w:sz w:val="28"/>
                        <w:szCs w:val="28"/>
                      </w:rPr>
                      <w:t xml:space="preserve"> </w:t>
                    </w:r>
                    <w:r>
                      <w:rPr>
                        <w:rStyle w:val="PageNumber"/>
                        <w:rFonts w:ascii="宋体;SimSun" w:hAnsi="宋体;SimSun" w:cs="宋体;SimSun" w:eastAsia="宋体;SimSun"/>
                        <w:sz w:val="28"/>
                        <w:szCs w:val="28"/>
                      </w:rPr>
                      <w:fldChar w:fldCharType="begin"/>
                    </w:r>
                    <w:r>
                      <w:rPr>
                        <w:rStyle w:val="PageNumber"/>
                        <w:sz w:val="28"/>
                        <w:szCs w:val="28"/>
                        <w:rFonts w:ascii="宋体;SimSun" w:hAnsi="宋体;SimSun" w:cs="宋体;SimSun" w:eastAsia="宋体;SimSun"/>
                      </w:rPr>
                      <w:instrText xml:space="preserve"> PAGE </w:instrText>
                    </w:r>
                    <w:r>
                      <w:rPr>
                        <w:rStyle w:val="PageNumber"/>
                        <w:sz w:val="28"/>
                        <w:szCs w:val="28"/>
                        <w:rFonts w:ascii="宋体;SimSun" w:hAnsi="宋体;SimSun" w:cs="宋体;SimSun" w:eastAsia="宋体;SimSun"/>
                      </w:rPr>
                      <w:fldChar w:fldCharType="separate"/>
                    </w:r>
                    <w:r>
                      <w:rPr>
                        <w:rStyle w:val="PageNumber"/>
                        <w:sz w:val="28"/>
                        <w:szCs w:val="28"/>
                        <w:rFonts w:ascii="宋体;SimSun" w:hAnsi="宋体;SimSun" w:cs="宋体;SimSun" w:eastAsia="宋体;SimSun"/>
                      </w:rPr>
                      <w:t>5</w:t>
                    </w:r>
                    <w:r>
                      <w:rPr>
                        <w:rStyle w:val="PageNumber"/>
                        <w:sz w:val="28"/>
                        <w:szCs w:val="28"/>
                        <w:rFonts w:ascii="宋体;SimSun" w:hAnsi="宋体;SimSun" w:cs="宋体;SimSun" w:eastAsia="宋体;SimSun"/>
                      </w:rPr>
                      <w:fldChar w:fldCharType="end"/>
                    </w:r>
                    <w:r>
                      <w:rPr>
                        <w:rStyle w:val="PageNumber"/>
                        <w:rFonts w:ascii="宋体;SimSun" w:hAnsi="宋体;SimSun" w:cs="宋体;SimSun" w:eastAsia="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evenAndOddHeaders/>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微软雅黑" w:cs="Times New Roman"/>
      <w:color w:val="auto"/>
      <w:kern w:val="2"/>
      <w:sz w:val="32"/>
      <w:szCs w:val="32"/>
      <w:lang w:val="en-US" w:eastAsia="zh-CN" w:bidi="ar-SA"/>
    </w:rPr>
  </w:style>
  <w:style w:type="character" w:styleId="Style14">
    <w:name w:val="默认段落字体"/>
    <w:qFormat/>
    <w:rPr/>
  </w:style>
  <w:style w:type="character" w:styleId="Strong">
    <w:name w:val="Strong"/>
    <w:qFormat/>
    <w:rPr>
      <w:b/>
      <w:bCs/>
    </w:rPr>
  </w:style>
  <w:style w:type="character" w:styleId="Char">
    <w:name w:val="页脚 Char"/>
    <w:qFormat/>
    <w:rPr>
      <w:rFonts w:ascii="Times New Roman" w:hAnsi="Times New Roman" w:eastAsia="仿宋_GB2312;微软雅黑" w:cs="Times New Roman"/>
      <w:sz w:val="18"/>
      <w:szCs w:val="18"/>
    </w:rPr>
  </w:style>
  <w:style w:type="character" w:styleId="PageNumber">
    <w:name w:val="Page Number"/>
    <w:basedOn w:val="Style14"/>
    <w:rPr/>
  </w:style>
  <w:style w:type="character" w:styleId="Char1">
    <w:name w:val="页眉 Char"/>
    <w:qFormat/>
    <w:rPr>
      <w:rFonts w:ascii="Times New Roman" w:hAnsi="Times New Roman" w:eastAsia="仿宋_GB2312;微软雅黑" w:cs="Times New Roman"/>
      <w:sz w:val="18"/>
      <w:szCs w:val="18"/>
    </w:rPr>
  </w:style>
  <w:style w:type="paragraph" w:styleId="Style15">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6">
    <w:name w:val="索引"/>
    <w:basedOn w:val="Normal"/>
    <w:qFormat/>
    <w:pPr>
      <w:suppressLineNumbers/>
    </w:pPr>
    <w:rPr>
      <w:rFonts w:cs="Lucida Sans"/>
    </w:rPr>
  </w:style>
  <w:style w:type="paragraph" w:styleId="Style17">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Style18">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snapToGrid w:val="false"/>
      <w:jc w:val="start"/>
    </w:pPr>
    <w:rPr>
      <w:sz w:val="18"/>
      <w:szCs w:val="18"/>
    </w:rPr>
  </w:style>
  <w:style w:type="paragraph" w:styleId="Header">
    <w:name w:val="Header"/>
    <w:basedOn w:val="Normal"/>
    <w:pPr>
      <w:pBdr>
        <w:bottom w:val="single" w:sz="6" w:space="1" w:color="000000"/>
      </w:pBdr>
      <w:snapToGrid w:val="false"/>
      <w:jc w:val="center"/>
    </w:pPr>
    <w:rPr>
      <w:sz w:val="18"/>
      <w:szCs w:val="18"/>
    </w:rPr>
  </w:style>
  <w:style w:type="paragraph" w:styleId="Style19">
    <w:name w:val="框架内容"/>
    <w:basedOn w:val="Normal"/>
    <w:qFormat/>
    <w:pPr/>
    <w:rPr/>
  </w:style>
  <w:style w:type="paragraph" w:styleId="Style20">
    <w:name w:val="表格内容"/>
    <w:basedOn w:val="Normal"/>
    <w:qFormat/>
    <w:pPr>
      <w:widowControl w:val="false"/>
      <w:suppressLineNumbers/>
    </w:pPr>
    <w:rPr/>
  </w:style>
  <w:style w:type="paragraph" w:styleId="Style21">
    <w:name w:val="表格标题"/>
    <w:basedOn w:val="Style20"/>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4</TotalTime>
  <Application>LibreOffice/24.2.4.2$Windows_X86_64 LibreOffice_project/51a6219feb6075d9a4c46691dcfe0cd9c4fff3c2</Application>
  <AppVersion>15.0000</AppVersion>
  <Pages>6</Pages>
  <Words>2774</Words>
  <Characters>2816</Characters>
  <CharactersWithSpaces>2856</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2020-12-14T11:27:00Z</dcterms:created>
  <dc:creator>文印员</dc:creator>
  <dc:description/>
  <cp:keywords/>
  <dc:language>zh-CN</dc:language>
  <cp:lastModifiedBy>李璟</cp:lastModifiedBy>
  <cp:lastPrinted>2020-12-14T11:26:00Z</cp:lastPrinted>
  <dcterms:modified xsi:type="dcterms:W3CDTF">2024-04-05T16:58:00Z</dcterms:modified>
  <cp:revision>5</cp:revision>
  <dc:subject/>
  <dc:title/>
</cp:coreProperties>
</file>