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3068" w:rsidRPr="002B3068" w:rsidRDefault="002B3068" w:rsidP="002B3068">
      <w:pPr>
        <w:spacing w:after="0" w:line="240" w:lineRule="auto"/>
        <w:rPr>
          <w:rFonts w:ascii="Times New Roman" w:hAnsi="Times New Roman" w:cs="Times New Roman"/>
        </w:rPr>
      </w:pPr>
      <w:r w:rsidRPr="002B3068">
        <w:rPr>
          <w:rFonts w:ascii="Times New Roman" w:hAnsi="Times New Roman" w:cs="Times New Roman"/>
        </w:rPr>
        <w:t>COSC6600</w:t>
      </w:r>
    </w:p>
    <w:p w:rsidR="002B3068" w:rsidRPr="002B3068" w:rsidRDefault="002B3068" w:rsidP="002B3068">
      <w:pPr>
        <w:spacing w:after="0" w:line="240" w:lineRule="auto"/>
        <w:rPr>
          <w:rFonts w:ascii="Times New Roman" w:hAnsi="Times New Roman" w:cs="Times New Roman"/>
        </w:rPr>
      </w:pPr>
      <w:r w:rsidRPr="002B3068">
        <w:rPr>
          <w:rFonts w:ascii="Times New Roman" w:hAnsi="Times New Roman" w:cs="Times New Roman"/>
        </w:rPr>
        <w:t>David Foster</w:t>
      </w:r>
    </w:p>
    <w:p w:rsidR="002B3068" w:rsidRDefault="002B3068" w:rsidP="002B3068">
      <w:pPr>
        <w:spacing w:after="0" w:line="240" w:lineRule="auto"/>
        <w:rPr>
          <w:rFonts w:ascii="Times New Roman" w:hAnsi="Times New Roman" w:cs="Times New Roman"/>
        </w:rPr>
      </w:pPr>
      <w:r w:rsidRPr="002B3068">
        <w:rPr>
          <w:rFonts w:ascii="Times New Roman" w:hAnsi="Times New Roman" w:cs="Times New Roman"/>
        </w:rPr>
        <w:t>3APR2026</w:t>
      </w:r>
    </w:p>
    <w:p w:rsidR="002B3068" w:rsidRPr="002B3068" w:rsidRDefault="002B3068" w:rsidP="002B3068">
      <w:pPr>
        <w:spacing w:after="0" w:line="240" w:lineRule="auto"/>
        <w:rPr>
          <w:rFonts w:ascii="Times New Roman" w:hAnsi="Times New Roman" w:cs="Times New Roman"/>
        </w:rPr>
      </w:pPr>
    </w:p>
    <w:p w:rsidR="002B3068" w:rsidRPr="002B3068" w:rsidRDefault="002B3068" w:rsidP="002B3068">
      <w:pPr>
        <w:spacing w:line="240" w:lineRule="auto"/>
        <w:jc w:val="center"/>
        <w:rPr>
          <w:rFonts w:ascii="Times New Roman" w:hAnsi="Times New Roman" w:cs="Times New Roman"/>
          <w:u w:val="single"/>
        </w:rPr>
      </w:pPr>
      <w:r w:rsidRPr="002B3068">
        <w:rPr>
          <w:rFonts w:ascii="Times New Roman" w:hAnsi="Times New Roman" w:cs="Times New Roman"/>
          <w:u w:val="single"/>
        </w:rPr>
        <w:t xml:space="preserve">Team B Group Project - </w:t>
      </w:r>
      <w:r w:rsidRPr="002B3068">
        <w:rPr>
          <w:rFonts w:ascii="Times New Roman" w:hAnsi="Times New Roman" w:cs="Times New Roman"/>
          <w:u w:val="single"/>
        </w:rPr>
        <w:t>ISO/IEC 25010:2023 Mapping</w:t>
      </w:r>
    </w:p>
    <w:tbl>
      <w:tblPr>
        <w:tblW w:w="9180" w:type="dxa"/>
        <w:tblInd w:w="12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440"/>
        <w:gridCol w:w="1530"/>
        <w:gridCol w:w="3150"/>
        <w:gridCol w:w="3060"/>
      </w:tblGrid>
      <w:tr w:rsidR="002B3068" w:rsidRPr="002B3068" w:rsidTr="002B3068">
        <w:tblPrEx>
          <w:tblCellMar>
            <w:top w:w="0" w:type="dxa"/>
            <w:bottom w:w="0" w:type="dxa"/>
          </w:tblCellMar>
        </w:tblPrEx>
        <w:tc>
          <w:tcPr>
            <w:tcW w:w="1440"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jc w:val="center"/>
              <w:rPr>
                <w:rFonts w:ascii="Times New Roman" w:hAnsi="Times New Roman" w:cs="Times New Roman"/>
                <w:b/>
                <w:bCs/>
                <w:kern w:val="0"/>
                <w:sz w:val="18"/>
                <w:szCs w:val="18"/>
              </w:rPr>
            </w:pPr>
            <w:r w:rsidRPr="002B3068">
              <w:rPr>
                <w:rFonts w:ascii="Times New Roman" w:hAnsi="Times New Roman" w:cs="Times New Roman"/>
                <w:b/>
                <w:bCs/>
                <w:kern w:val="0"/>
                <w:sz w:val="18"/>
                <w:szCs w:val="18"/>
              </w:rPr>
              <w:t>Characteristic</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jc w:val="center"/>
              <w:rPr>
                <w:rFonts w:ascii="Times New Roman" w:hAnsi="Times New Roman" w:cs="Times New Roman"/>
                <w:b/>
                <w:bCs/>
                <w:kern w:val="0"/>
                <w:sz w:val="18"/>
                <w:szCs w:val="18"/>
              </w:rPr>
            </w:pPr>
            <w:r w:rsidRPr="002B3068">
              <w:rPr>
                <w:rFonts w:ascii="Times New Roman" w:hAnsi="Times New Roman" w:cs="Times New Roman"/>
                <w:b/>
                <w:bCs/>
                <w:kern w:val="0"/>
                <w:sz w:val="18"/>
                <w:szCs w:val="18"/>
              </w:rPr>
              <w:t>Sub</w:t>
            </w:r>
            <w:r w:rsidRPr="002B3068">
              <w:rPr>
                <w:rFonts w:ascii="Times New Roman" w:hAnsi="Times New Roman" w:cs="Times New Roman"/>
                <w:b/>
                <w:bCs/>
                <w:kern w:val="0"/>
                <w:sz w:val="18"/>
                <w:szCs w:val="18"/>
              </w:rPr>
              <w:t xml:space="preserve"> </w:t>
            </w:r>
            <w:r w:rsidRPr="002B3068">
              <w:rPr>
                <w:rFonts w:ascii="Times New Roman" w:hAnsi="Times New Roman" w:cs="Times New Roman"/>
                <w:b/>
                <w:bCs/>
                <w:kern w:val="0"/>
                <w:sz w:val="18"/>
                <w:szCs w:val="18"/>
              </w:rPr>
              <w:t>characteristics</w:t>
            </w:r>
          </w:p>
        </w:tc>
        <w:tc>
          <w:tcPr>
            <w:tcW w:w="31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jc w:val="center"/>
              <w:rPr>
                <w:rFonts w:ascii="Times New Roman" w:hAnsi="Times New Roman" w:cs="Times New Roman"/>
                <w:b/>
                <w:bCs/>
                <w:kern w:val="0"/>
                <w:sz w:val="18"/>
                <w:szCs w:val="18"/>
              </w:rPr>
            </w:pPr>
            <w:r w:rsidRPr="002B3068">
              <w:rPr>
                <w:rFonts w:ascii="Times New Roman" w:hAnsi="Times New Roman" w:cs="Times New Roman"/>
                <w:b/>
                <w:bCs/>
                <w:kern w:val="0"/>
                <w:sz w:val="18"/>
                <w:szCs w:val="18"/>
              </w:rPr>
              <w:t>Justification</w:t>
            </w:r>
          </w:p>
        </w:tc>
        <w:tc>
          <w:tcPr>
            <w:tcW w:w="306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jc w:val="center"/>
              <w:rPr>
                <w:rFonts w:ascii="Times New Roman" w:hAnsi="Times New Roman" w:cs="Times New Roman"/>
                <w:b/>
                <w:bCs/>
                <w:kern w:val="0"/>
                <w:sz w:val="18"/>
                <w:szCs w:val="18"/>
              </w:rPr>
            </w:pPr>
            <w:r w:rsidRPr="002B3068">
              <w:rPr>
                <w:rFonts w:ascii="Times New Roman" w:hAnsi="Times New Roman" w:cs="Times New Roman"/>
                <w:b/>
                <w:bCs/>
                <w:kern w:val="0"/>
                <w:sz w:val="18"/>
                <w:szCs w:val="18"/>
              </w:rPr>
              <w:t>Supporting Evidence</w:t>
            </w:r>
          </w:p>
        </w:tc>
      </w:tr>
      <w:tr w:rsidR="002B3068" w:rsidRPr="002B3068" w:rsidTr="002B3068">
        <w:tblPrEx>
          <w:tblCellMar>
            <w:top w:w="0" w:type="dxa"/>
            <w:bottom w:w="0" w:type="dxa"/>
          </w:tblCellMar>
        </w:tblPrEx>
        <w:tc>
          <w:tcPr>
            <w:tcW w:w="1440"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Functional suitability</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Functional correctness; Functional appropriateness</w:t>
            </w:r>
          </w:p>
        </w:tc>
        <w:tc>
          <w:tcPr>
            <w:tcW w:w="31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proofErr w:type="spellStart"/>
            <w:r w:rsidRPr="002B3068">
              <w:rPr>
                <w:rFonts w:ascii="Times New Roman" w:hAnsi="Times New Roman" w:cs="Times New Roman"/>
                <w:kern w:val="0"/>
                <w:sz w:val="18"/>
                <w:szCs w:val="18"/>
              </w:rPr>
              <w:t>UqsBlog’s</w:t>
            </w:r>
            <w:proofErr w:type="spellEnd"/>
            <w:r w:rsidRPr="002B3068">
              <w:rPr>
                <w:rFonts w:ascii="Times New Roman" w:hAnsi="Times New Roman" w:cs="Times New Roman"/>
                <w:kern w:val="0"/>
                <w:sz w:val="18"/>
                <w:szCs w:val="18"/>
              </w:rPr>
              <w:t xml:space="preserve"> primary purpose is to enforce publishing rules correctly before persistence. The system must reject nonexistent authors, block locked authors, normalize null titles, trim whitespace, and reject titles longer than 90 characters. Because the core value of the system is correct rule enforcement, this is the strongest ISO/IEC 25010:2023 fit.</w:t>
            </w:r>
          </w:p>
        </w:tc>
        <w:tc>
          <w:tcPr>
            <w:tcW w:w="306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The charter defines the system around these business rules and states that the project focuses on validating them through SQA. The M2 test set maps these rules directly to UT1–UT9 and IT1–IT4, including ECP, BVA, and control-flow coverage.</w:t>
            </w:r>
          </w:p>
        </w:tc>
      </w:tr>
      <w:tr w:rsidR="002B3068" w:rsidRPr="002B3068" w:rsidTr="002B3068">
        <w:tblPrEx>
          <w:tblCellMar>
            <w:top w:w="0" w:type="dxa"/>
            <w:bottom w:w="0" w:type="dxa"/>
          </w:tblCellMar>
        </w:tblPrEx>
        <w:tc>
          <w:tcPr>
            <w:tcW w:w="1440"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Reliability</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Faultlessness; Fault tolerance</w:t>
            </w:r>
          </w:p>
        </w:tc>
        <w:tc>
          <w:tcPr>
            <w:tcW w:w="31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 xml:space="preserve">Reliability is relevant because </w:t>
            </w:r>
            <w:proofErr w:type="spellStart"/>
            <w:r w:rsidRPr="002B3068">
              <w:rPr>
                <w:rFonts w:ascii="Times New Roman" w:hAnsi="Times New Roman" w:cs="Times New Roman"/>
                <w:kern w:val="0"/>
                <w:sz w:val="18"/>
                <w:szCs w:val="18"/>
              </w:rPr>
              <w:t>UqsBlog</w:t>
            </w:r>
            <w:proofErr w:type="spellEnd"/>
            <w:r w:rsidRPr="002B3068">
              <w:rPr>
                <w:rFonts w:ascii="Times New Roman" w:hAnsi="Times New Roman" w:cs="Times New Roman"/>
                <w:kern w:val="0"/>
                <w:sz w:val="18"/>
                <w:szCs w:val="18"/>
              </w:rPr>
              <w:t xml:space="preserve"> must behave predictably under invalid inputs and invalid states. In this project, reliability means the service should fail safely and consistently rather than allowing incorrect writes, inconsistent title handling, or invalid persistence behavior.</w:t>
            </w:r>
          </w:p>
        </w:tc>
        <w:tc>
          <w:tcPr>
            <w:tcW w:w="306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The charter explicitly says the project focus is on reliability, testing, and validation. It also identifies author validation failure, title-handling failure, insufficient persistence validation, and incomplete automation as major risks. The M2 risk table further supports this by linking these risks to specific tests and mitigation plans.</w:t>
            </w:r>
          </w:p>
        </w:tc>
      </w:tr>
      <w:tr w:rsidR="002B3068" w:rsidRPr="002B3068" w:rsidTr="002B3068">
        <w:tblPrEx>
          <w:tblCellMar>
            <w:top w:w="0" w:type="dxa"/>
            <w:bottom w:w="0" w:type="dxa"/>
          </w:tblCellMar>
        </w:tblPrEx>
        <w:tc>
          <w:tcPr>
            <w:tcW w:w="1440"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Maintainability</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Modularity; Testability</w:t>
            </w:r>
          </w:p>
        </w:tc>
        <w:tc>
          <w:tcPr>
            <w:tcW w:w="31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Maintainability is a strong fit because the architecture separates domain logic, services, and repository interfaces, making the system easier to test, modify, and extend. In an SQA project, this matters because maintainability directly affects how well the team can verify and evolve business-rule logic over time.</w:t>
            </w:r>
          </w:p>
        </w:tc>
        <w:tc>
          <w:tcPr>
            <w:tcW w:w="306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 xml:space="preserve">The charter states that repository abstraction improves maintainability by allowing business rules to be tested without a live database. The M2 document also says the architecture isolates domain logic from infrastructure concerns and uses </w:t>
            </w:r>
            <w:proofErr w:type="spellStart"/>
            <w:r w:rsidRPr="002B3068">
              <w:rPr>
                <w:rFonts w:ascii="Times New Roman" w:hAnsi="Times New Roman" w:cs="Times New Roman"/>
                <w:kern w:val="0"/>
                <w:sz w:val="18"/>
                <w:szCs w:val="18"/>
              </w:rPr>
              <w:t>NSubstitute</w:t>
            </w:r>
            <w:proofErr w:type="spellEnd"/>
            <w:r w:rsidRPr="002B3068">
              <w:rPr>
                <w:rFonts w:ascii="Times New Roman" w:hAnsi="Times New Roman" w:cs="Times New Roman"/>
                <w:kern w:val="0"/>
                <w:sz w:val="18"/>
                <w:szCs w:val="18"/>
              </w:rPr>
              <w:t xml:space="preserve"> to test services in a deterministic way.</w:t>
            </w:r>
          </w:p>
        </w:tc>
      </w:tr>
      <w:tr w:rsidR="002B3068" w:rsidRPr="002B3068" w:rsidTr="002B3068">
        <w:tblPrEx>
          <w:tblCellMar>
            <w:top w:w="0" w:type="dxa"/>
            <w:bottom w:w="0" w:type="dxa"/>
          </w:tblCellMar>
        </w:tblPrEx>
        <w:tc>
          <w:tcPr>
            <w:tcW w:w="1440"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Compatibility</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Interoperability; Co-existence</w:t>
            </w:r>
          </w:p>
        </w:tc>
        <w:tc>
          <w:tcPr>
            <w:tcW w:w="31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 xml:space="preserve">Compatibility is relevant because </w:t>
            </w:r>
            <w:proofErr w:type="spellStart"/>
            <w:r w:rsidRPr="002B3068">
              <w:rPr>
                <w:rFonts w:ascii="Times New Roman" w:hAnsi="Times New Roman" w:cs="Times New Roman"/>
                <w:kern w:val="0"/>
                <w:sz w:val="18"/>
                <w:szCs w:val="18"/>
              </w:rPr>
              <w:t>UqsBlog</w:t>
            </w:r>
            <w:proofErr w:type="spellEnd"/>
            <w:r w:rsidRPr="002B3068">
              <w:rPr>
                <w:rFonts w:ascii="Times New Roman" w:hAnsi="Times New Roman" w:cs="Times New Roman"/>
                <w:kern w:val="0"/>
                <w:sz w:val="18"/>
                <w:szCs w:val="18"/>
              </w:rPr>
              <w:t xml:space="preserve"> depends on correct interaction between the domain layer, services, repository interfaces, and Web API boundary. For this system, compatibility is less about platforms and more about whether these components work together correctly without bypassing validation or corrupting persistence flow.</w:t>
            </w:r>
          </w:p>
        </w:tc>
        <w:tc>
          <w:tcPr>
            <w:tcW w:w="306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 xml:space="preserve">The charter scope includes the domain entities, repository interfaces, </w:t>
            </w:r>
            <w:proofErr w:type="spellStart"/>
            <w:r w:rsidRPr="002B3068">
              <w:rPr>
                <w:rFonts w:ascii="Times New Roman" w:hAnsi="Times New Roman" w:cs="Times New Roman"/>
                <w:kern w:val="0"/>
                <w:sz w:val="18"/>
                <w:szCs w:val="18"/>
              </w:rPr>
              <w:t>AddPostService</w:t>
            </w:r>
            <w:proofErr w:type="spellEnd"/>
            <w:r w:rsidRPr="002B3068">
              <w:rPr>
                <w:rFonts w:ascii="Times New Roman" w:hAnsi="Times New Roman" w:cs="Times New Roman"/>
                <w:kern w:val="0"/>
                <w:sz w:val="18"/>
                <w:szCs w:val="18"/>
              </w:rPr>
              <w:t xml:space="preserve">, </w:t>
            </w:r>
            <w:proofErr w:type="spellStart"/>
            <w:r w:rsidRPr="002B3068">
              <w:rPr>
                <w:rFonts w:ascii="Times New Roman" w:hAnsi="Times New Roman" w:cs="Times New Roman"/>
                <w:kern w:val="0"/>
                <w:sz w:val="18"/>
                <w:szCs w:val="18"/>
              </w:rPr>
              <w:t>UpdateTitleService</w:t>
            </w:r>
            <w:proofErr w:type="spellEnd"/>
            <w:r w:rsidRPr="002B3068">
              <w:rPr>
                <w:rFonts w:ascii="Times New Roman" w:hAnsi="Times New Roman" w:cs="Times New Roman"/>
                <w:kern w:val="0"/>
                <w:sz w:val="18"/>
                <w:szCs w:val="18"/>
              </w:rPr>
              <w:t>, and the Web API boundary. The M2 materials also include repository-boundary integration tests and planned API/BDD scenarios, showing that interaction across system boundaries is part of the intended quality strategy.</w:t>
            </w:r>
          </w:p>
        </w:tc>
      </w:tr>
      <w:tr w:rsidR="002B3068" w:rsidRPr="002B3068" w:rsidTr="002B3068">
        <w:tblPrEx>
          <w:tblCellMar>
            <w:top w:w="0" w:type="dxa"/>
            <w:bottom w:w="0" w:type="dxa"/>
          </w:tblCellMar>
        </w:tblPrEx>
        <w:tc>
          <w:tcPr>
            <w:tcW w:w="1440"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Flexibility</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Adaptability; Replaceability</w:t>
            </w:r>
          </w:p>
        </w:tc>
        <w:tc>
          <w:tcPr>
            <w:tcW w:w="31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Flexibility is defensible because the system is designed so major dependencies, especially persistence, can be substituted more easily. Using repository interfaces and test doubles now makes it easier to adapt the implementation later without rewriting the business-rule layer.</w:t>
            </w:r>
          </w:p>
        </w:tc>
        <w:tc>
          <w:tcPr>
            <w:tcW w:w="306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 xml:space="preserve">The charter explains that repositories are abstracted behind interfaces and that a live production database is out of scope for core business-rule testing. The M2 document reinforces this with mocked </w:t>
            </w:r>
            <w:proofErr w:type="spellStart"/>
            <w:r w:rsidRPr="002B3068">
              <w:rPr>
                <w:rFonts w:ascii="Times New Roman" w:hAnsi="Times New Roman" w:cs="Times New Roman"/>
                <w:kern w:val="0"/>
                <w:sz w:val="18"/>
                <w:szCs w:val="18"/>
              </w:rPr>
              <w:t>IAuthorRepository</w:t>
            </w:r>
            <w:proofErr w:type="spellEnd"/>
            <w:r w:rsidRPr="002B3068">
              <w:rPr>
                <w:rFonts w:ascii="Times New Roman" w:hAnsi="Times New Roman" w:cs="Times New Roman"/>
                <w:kern w:val="0"/>
                <w:sz w:val="18"/>
                <w:szCs w:val="18"/>
              </w:rPr>
              <w:t xml:space="preserve"> and </w:t>
            </w:r>
            <w:proofErr w:type="spellStart"/>
            <w:r w:rsidRPr="002B3068">
              <w:rPr>
                <w:rFonts w:ascii="Times New Roman" w:hAnsi="Times New Roman" w:cs="Times New Roman"/>
                <w:kern w:val="0"/>
                <w:sz w:val="18"/>
                <w:szCs w:val="18"/>
              </w:rPr>
              <w:t>IPostRepository</w:t>
            </w:r>
            <w:proofErr w:type="spellEnd"/>
            <w:r w:rsidRPr="002B3068">
              <w:rPr>
                <w:rFonts w:ascii="Times New Roman" w:hAnsi="Times New Roman" w:cs="Times New Roman"/>
                <w:kern w:val="0"/>
                <w:sz w:val="18"/>
                <w:szCs w:val="18"/>
              </w:rPr>
              <w:t>, showing that the system is already structured for substitution and adaptation.</w:t>
            </w:r>
          </w:p>
        </w:tc>
      </w:tr>
      <w:tr w:rsidR="002B3068" w:rsidRPr="002B3068" w:rsidTr="002B3068">
        <w:tblPrEx>
          <w:tblCellMar>
            <w:top w:w="0" w:type="dxa"/>
            <w:bottom w:w="0" w:type="dxa"/>
          </w:tblCellMar>
        </w:tblPrEx>
        <w:tc>
          <w:tcPr>
            <w:tcW w:w="1440" w:type="dxa"/>
            <w:tcBorders>
              <w:top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lastRenderedPageBreak/>
              <w:t>Security</w:t>
            </w:r>
          </w:p>
        </w:tc>
        <w:tc>
          <w:tcPr>
            <w:tcW w:w="153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b/>
                <w:bCs/>
                <w:kern w:val="0"/>
                <w:sz w:val="18"/>
                <w:szCs w:val="18"/>
              </w:rPr>
              <w:t>Integrity; Authenticity</w:t>
            </w:r>
          </w:p>
        </w:tc>
        <w:tc>
          <w:tcPr>
            <w:tcW w:w="31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 xml:space="preserve">Security is the weakest of the six, but it is still defensible if framed narrowly around integrity of system state. </w:t>
            </w:r>
            <w:proofErr w:type="spellStart"/>
            <w:r w:rsidRPr="002B3068">
              <w:rPr>
                <w:rFonts w:ascii="Times New Roman" w:hAnsi="Times New Roman" w:cs="Times New Roman"/>
                <w:kern w:val="0"/>
                <w:sz w:val="18"/>
                <w:szCs w:val="18"/>
              </w:rPr>
              <w:t>UqsBlog</w:t>
            </w:r>
            <w:proofErr w:type="spellEnd"/>
            <w:r w:rsidRPr="002B3068">
              <w:rPr>
                <w:rFonts w:ascii="Times New Roman" w:hAnsi="Times New Roman" w:cs="Times New Roman"/>
                <w:kern w:val="0"/>
                <w:sz w:val="18"/>
                <w:szCs w:val="18"/>
              </w:rPr>
              <w:t xml:space="preserve"> must prevent invalid or unauthorized state changes, such as locked authors publishing or malformed API requests bypassing validation. This is not full authentication/authorization coverage, but it is still a valid quality concern.</w:t>
            </w:r>
          </w:p>
        </w:tc>
        <w:tc>
          <w:tcPr>
            <w:tcW w:w="3060" w:type="dxa"/>
            <w:tcBorders>
              <w:top w:val="none" w:sz="6" w:space="0" w:color="auto"/>
              <w:left w:val="none" w:sz="6" w:space="0" w:color="auto"/>
              <w:bottom w:val="none" w:sz="6" w:space="0" w:color="auto"/>
            </w:tcBorders>
            <w:tcMar>
              <w:top w:w="20" w:type="nil"/>
              <w:left w:w="20" w:type="nil"/>
              <w:bottom w:w="20" w:type="nil"/>
              <w:right w:w="20" w:type="nil"/>
            </w:tcMar>
            <w:vAlign w:val="center"/>
          </w:tcPr>
          <w:p w:rsidR="002B3068" w:rsidRPr="002B3068" w:rsidRDefault="002B3068" w:rsidP="002B3068">
            <w:pPr>
              <w:autoSpaceDE w:val="0"/>
              <w:autoSpaceDN w:val="0"/>
              <w:adjustRightInd w:val="0"/>
              <w:spacing w:after="0" w:line="240" w:lineRule="auto"/>
              <w:rPr>
                <w:rFonts w:ascii="Times New Roman" w:hAnsi="Times New Roman" w:cs="Times New Roman"/>
                <w:kern w:val="0"/>
                <w:sz w:val="18"/>
                <w:szCs w:val="18"/>
              </w:rPr>
            </w:pPr>
            <w:r w:rsidRPr="002B3068">
              <w:rPr>
                <w:rFonts w:ascii="Times New Roman" w:hAnsi="Times New Roman" w:cs="Times New Roman"/>
                <w:kern w:val="0"/>
                <w:sz w:val="18"/>
                <w:szCs w:val="18"/>
              </w:rPr>
              <w:t xml:space="preserve">The M2 risk table includes locked-author publishing, service-validation bypass, API contract violations, and API edge-case handling as explicit risks. The course brief also lists security/threat-based testing and </w:t>
            </w:r>
            <w:proofErr w:type="spellStart"/>
            <w:r w:rsidRPr="002B3068">
              <w:rPr>
                <w:rFonts w:ascii="Times New Roman" w:hAnsi="Times New Roman" w:cs="Times New Roman"/>
                <w:kern w:val="0"/>
                <w:sz w:val="18"/>
                <w:szCs w:val="18"/>
              </w:rPr>
              <w:t>CodeQL</w:t>
            </w:r>
            <w:proofErr w:type="spellEnd"/>
            <w:r w:rsidRPr="002B3068">
              <w:rPr>
                <w:rFonts w:ascii="Times New Roman" w:hAnsi="Times New Roman" w:cs="Times New Roman"/>
                <w:kern w:val="0"/>
                <w:sz w:val="18"/>
                <w:szCs w:val="18"/>
              </w:rPr>
              <w:t xml:space="preserve"> as relevant techniques when a system has authorization or data-exposure concerns.</w:t>
            </w:r>
          </w:p>
        </w:tc>
      </w:tr>
    </w:tbl>
    <w:p w:rsidR="002B3068" w:rsidRPr="002B3068" w:rsidRDefault="002B3068" w:rsidP="002B3068">
      <w:pPr>
        <w:spacing w:line="240" w:lineRule="auto"/>
        <w:rPr>
          <w:rFonts w:ascii="Times New Roman" w:hAnsi="Times New Roman" w:cs="Times New Roman"/>
        </w:rPr>
      </w:pPr>
    </w:p>
    <w:sectPr w:rsidR="002B3068" w:rsidRPr="002B3068">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1066" w:rsidRDefault="00A61066" w:rsidP="002B3068">
      <w:pPr>
        <w:spacing w:after="0" w:line="240" w:lineRule="auto"/>
      </w:pPr>
      <w:r>
        <w:separator/>
      </w:r>
    </w:p>
  </w:endnote>
  <w:endnote w:type="continuationSeparator" w:id="0">
    <w:p w:rsidR="00A61066" w:rsidRDefault="00A61066" w:rsidP="002B3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3068" w:rsidRPr="002B3068" w:rsidRDefault="002B3068">
    <w:pPr>
      <w:pStyle w:val="Footer"/>
      <w:tabs>
        <w:tab w:val="clear" w:pos="4680"/>
        <w:tab w:val="clear" w:pos="9360"/>
      </w:tabs>
      <w:jc w:val="center"/>
      <w:rPr>
        <w:caps/>
        <w:noProof/>
        <w:color w:val="000000" w:themeColor="text1"/>
      </w:rPr>
    </w:pPr>
    <w:r w:rsidRPr="002B3068">
      <w:rPr>
        <w:caps/>
        <w:color w:val="000000" w:themeColor="text1"/>
      </w:rPr>
      <w:fldChar w:fldCharType="begin"/>
    </w:r>
    <w:r w:rsidRPr="002B3068">
      <w:rPr>
        <w:caps/>
        <w:color w:val="000000" w:themeColor="text1"/>
      </w:rPr>
      <w:instrText xml:space="preserve"> PAGE   \* MERGEFORMAT </w:instrText>
    </w:r>
    <w:r w:rsidRPr="002B3068">
      <w:rPr>
        <w:caps/>
        <w:color w:val="000000" w:themeColor="text1"/>
      </w:rPr>
      <w:fldChar w:fldCharType="separate"/>
    </w:r>
    <w:r w:rsidRPr="002B3068">
      <w:rPr>
        <w:caps/>
        <w:noProof/>
        <w:color w:val="000000" w:themeColor="text1"/>
      </w:rPr>
      <w:t>2</w:t>
    </w:r>
    <w:r w:rsidRPr="002B3068">
      <w:rPr>
        <w:caps/>
        <w:noProof/>
        <w:color w:val="000000" w:themeColor="text1"/>
      </w:rPr>
      <w:fldChar w:fldCharType="end"/>
    </w:r>
  </w:p>
  <w:p w:rsidR="002B3068" w:rsidRDefault="002B30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1066" w:rsidRDefault="00A61066" w:rsidP="002B3068">
      <w:pPr>
        <w:spacing w:after="0" w:line="240" w:lineRule="auto"/>
      </w:pPr>
      <w:r>
        <w:separator/>
      </w:r>
    </w:p>
  </w:footnote>
  <w:footnote w:type="continuationSeparator" w:id="0">
    <w:p w:rsidR="00A61066" w:rsidRDefault="00A61066" w:rsidP="002B30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68"/>
    <w:rsid w:val="002B3068"/>
    <w:rsid w:val="008B63FA"/>
    <w:rsid w:val="00A6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E18F36"/>
  <w15:chartTrackingRefBased/>
  <w15:docId w15:val="{6D1540E1-7F84-9B4B-9272-534C3F297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068"/>
    <w:rPr>
      <w:rFonts w:eastAsiaTheme="majorEastAsia" w:cstheme="majorBidi"/>
      <w:color w:val="272727" w:themeColor="text1" w:themeTint="D8"/>
    </w:rPr>
  </w:style>
  <w:style w:type="paragraph" w:styleId="Title">
    <w:name w:val="Title"/>
    <w:basedOn w:val="Normal"/>
    <w:next w:val="Normal"/>
    <w:link w:val="TitleChar"/>
    <w:uiPriority w:val="10"/>
    <w:qFormat/>
    <w:rsid w:val="002B3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068"/>
    <w:pPr>
      <w:spacing w:before="160"/>
      <w:jc w:val="center"/>
    </w:pPr>
    <w:rPr>
      <w:i/>
      <w:iCs/>
      <w:color w:val="404040" w:themeColor="text1" w:themeTint="BF"/>
    </w:rPr>
  </w:style>
  <w:style w:type="character" w:customStyle="1" w:styleId="QuoteChar">
    <w:name w:val="Quote Char"/>
    <w:basedOn w:val="DefaultParagraphFont"/>
    <w:link w:val="Quote"/>
    <w:uiPriority w:val="29"/>
    <w:rsid w:val="002B3068"/>
    <w:rPr>
      <w:i/>
      <w:iCs/>
      <w:color w:val="404040" w:themeColor="text1" w:themeTint="BF"/>
    </w:rPr>
  </w:style>
  <w:style w:type="paragraph" w:styleId="ListParagraph">
    <w:name w:val="List Paragraph"/>
    <w:basedOn w:val="Normal"/>
    <w:uiPriority w:val="34"/>
    <w:qFormat/>
    <w:rsid w:val="002B3068"/>
    <w:pPr>
      <w:ind w:left="720"/>
      <w:contextualSpacing/>
    </w:pPr>
  </w:style>
  <w:style w:type="character" w:styleId="IntenseEmphasis">
    <w:name w:val="Intense Emphasis"/>
    <w:basedOn w:val="DefaultParagraphFont"/>
    <w:uiPriority w:val="21"/>
    <w:qFormat/>
    <w:rsid w:val="002B3068"/>
    <w:rPr>
      <w:i/>
      <w:iCs/>
      <w:color w:val="2F5496" w:themeColor="accent1" w:themeShade="BF"/>
    </w:rPr>
  </w:style>
  <w:style w:type="paragraph" w:styleId="IntenseQuote">
    <w:name w:val="Intense Quote"/>
    <w:basedOn w:val="Normal"/>
    <w:next w:val="Normal"/>
    <w:link w:val="IntenseQuoteChar"/>
    <w:uiPriority w:val="30"/>
    <w:qFormat/>
    <w:rsid w:val="002B3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068"/>
    <w:rPr>
      <w:i/>
      <w:iCs/>
      <w:color w:val="2F5496" w:themeColor="accent1" w:themeShade="BF"/>
    </w:rPr>
  </w:style>
  <w:style w:type="character" w:styleId="IntenseReference">
    <w:name w:val="Intense Reference"/>
    <w:basedOn w:val="DefaultParagraphFont"/>
    <w:uiPriority w:val="32"/>
    <w:qFormat/>
    <w:rsid w:val="002B3068"/>
    <w:rPr>
      <w:b/>
      <w:bCs/>
      <w:smallCaps/>
      <w:color w:val="2F5496" w:themeColor="accent1" w:themeShade="BF"/>
      <w:spacing w:val="5"/>
    </w:rPr>
  </w:style>
  <w:style w:type="paragraph" w:styleId="Header">
    <w:name w:val="header"/>
    <w:basedOn w:val="Normal"/>
    <w:link w:val="HeaderChar"/>
    <w:uiPriority w:val="99"/>
    <w:unhideWhenUsed/>
    <w:rsid w:val="002B3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068"/>
  </w:style>
  <w:style w:type="paragraph" w:styleId="Footer">
    <w:name w:val="footer"/>
    <w:basedOn w:val="Normal"/>
    <w:link w:val="FooterChar"/>
    <w:uiPriority w:val="99"/>
    <w:unhideWhenUsed/>
    <w:rsid w:val="002B3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641</Words>
  <Characters>3535</Characters>
  <Application>Microsoft Office Word</Application>
  <DocSecurity>0</DocSecurity>
  <Lines>57</Lines>
  <Paragraphs>15</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Foster</dc:creator>
  <cp:keywords/>
  <dc:description/>
  <cp:lastModifiedBy>David Foster</cp:lastModifiedBy>
  <cp:revision>1</cp:revision>
  <dcterms:created xsi:type="dcterms:W3CDTF">2026-04-04T14:12:00Z</dcterms:created>
  <dcterms:modified xsi:type="dcterms:W3CDTF">2026-04-04T14:18:00Z</dcterms:modified>
</cp:coreProperties>
</file>