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C89B3C"/>
          <w:sz w:val="20"/>
        </w:rPr>
        <w:t>PERSONAL CREDIT RISK PROJECT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i w:val="0"/>
          <w:color w:val="18324A"/>
          <w:sz w:val="56"/>
        </w:rPr>
        <w:t>LendingClub 贷前申请信用评分卡</w:t>
      </w:r>
    </w:p>
    <w:p>
      <w:pPr>
        <w:spacing w:after="520"/>
        <w:jc w:val="center"/>
      </w:pPr>
      <w:r>
        <w:rPr>
          <w:rFonts w:ascii="Noto Sans CJK SC" w:hAnsi="Noto Sans CJK SC" w:eastAsia="Noto Sans CJK SC"/>
          <w:b w:val="0"/>
          <w:i w:val="0"/>
          <w:color w:val="2A7F8E"/>
          <w:sz w:val="28"/>
        </w:rPr>
        <w:t>从数据治理、WOE 分箱到 OOT 验证、PD 校准与策略阈值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18324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OOT AUC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18324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OOT KS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18324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SCORE PSI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F2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36"/>
              </w:rPr>
              <w:t>0.681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F2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36"/>
              </w:rPr>
              <w:t>26.2%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F2F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36"/>
              </w:rPr>
              <w:t>0.023</w:t>
            </w:r>
          </w:p>
        </w:tc>
      </w:tr>
    </w:tbl>
    <w:p>
      <w:pPr>
        <w:spacing w:before="1360" w:after="80"/>
        <w:jc w:val="center"/>
      </w:pPr>
      <w:r>
        <w:rPr>
          <w:rFonts w:ascii="Noto Sans CJK SC" w:hAnsi="Noto Sans CJK SC" w:eastAsia="Noto Sans CJK SC"/>
          <w:b/>
          <w:i w:val="0"/>
          <w:color w:val="18324A"/>
          <w:sz w:val="22"/>
        </w:rPr>
        <w:t>郭锦航  |  金融科技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06A73"/>
          <w:sz w:val="19"/>
        </w:rPr>
        <w:t>面向风险策略分析 / 量化建模岗位  |  2026 年 7 月</w:t>
      </w:r>
    </w:p>
    <w:p>
      <w:r>
        <w:br w:type="page"/>
      </w:r>
    </w:p>
    <w:p>
      <w:pPr>
        <w:pStyle w:val="Heading1"/>
      </w:pPr>
      <w:r>
        <w:t>结论先行：方向合理，但必须从“课程作业”升级成风险项目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2F3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22"/>
              </w:rPr>
              <w:t>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20"/>
              </w:rPr>
              <w:t>信用评分卡与你现有的量化实习经历形成有效互补，值得写进简历；但只完成“清洗—WOE—逻辑回归—KS/AUC”仍过于标准化。升级版加入时间窗治理、泄露审查、OOT 验证、截距校准、PSI 监控与策略阈值，才足以支撑微众银行风险策略/量化建模岗的面试追问。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维度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基础版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本项目升级版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样本切分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随机切分</w:t>
            </w:r>
          </w:p>
        </w:tc>
        <w:tc>
          <w:tcPr>
            <w:tcW w:type="dxa" w:w="5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2014–2015 开发 / 2016 验证 / 2017 OOT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变量治理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按缺失率删列</w:t>
            </w:r>
          </w:p>
        </w:tc>
        <w:tc>
          <w:tcPr>
            <w:tcW w:type="dxa" w:w="5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仅申请时点变量；剔除 grade、利率及贷后字段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评估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AUC、KS</w:t>
            </w:r>
          </w:p>
        </w:tc>
        <w:tc>
          <w:tcPr>
            <w:tcW w:type="dxa" w:w="5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AUC、KS、十分位 Lift、PD 校准、Score/Feature PSI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策略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给一个 cutoff</w:t>
            </w:r>
          </w:p>
        </w:tc>
        <w:tc>
          <w:tcPr>
            <w:tcW w:type="dxa" w:w="5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输出不同目标通过率下的 cutoff 与观察坏账率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边界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默认可用于审批</w:t>
            </w:r>
          </w:p>
        </w:tc>
        <w:tc>
          <w:tcPr>
            <w:tcW w:type="dxa" w:w="5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明确 accepted-only 样本与 reject inference 局限</w:t>
            </w:r>
          </w:p>
        </w:tc>
      </w:tr>
    </w:tbl>
    <w:p>
      <w:pPr>
        <w:pStyle w:val="Heading1"/>
      </w:pPr>
      <w:r>
        <w:t>1. 数据与样本设计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数据来自 LendingClub 2007–2018Q4 公开借贷记录。原始文件约 226 万条，保留 Fully Paid、Charged Off、Default 三类已形成最终结果的贷款，定义 Default=1（Charged Off / Default）与 Default=0（Fully Paid）。Current、Late、In Grace Period 不被强行贴标签。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开发窗口采用 2014–2015。更早的 2007–2013 仍用于 vintage 诊断，但由于平台政策与细粒度征信字段覆盖口径不可比，不参与拟合；2018 年观察坏账率随月份异常下降，判定存在明显右删失，仅保留在诊断中。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1500"/>
        <w:gridCol w:w="1500"/>
        <w:gridCol w:w="1300"/>
        <w:gridCol w:w="1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起始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结束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样本量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违约数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坏账率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开发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2014-01-01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2015-12-01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598,649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116,966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19.54%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验证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2016-01-01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2016-12-01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293,105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68,252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23.29%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OOT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2017-01-01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2017-12-01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169,321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39,169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23.13%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历史诊断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2007-06-01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2013-12-01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227,957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35,338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15.50%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右删失诊断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2018-01-01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2018-12-01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56,318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8,874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15.76%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30595"/>
            <wp:docPr id="1" name="Picture 1" descr="图 1  Vintage 数量与已观察坏账率：2018 年右删失信号清晰" title="图 1  Vintage 数量与已观察坏账率：2018 年右删失信号清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ntage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06A73"/>
          <w:sz w:val="18"/>
        </w:rPr>
        <w:t>图 1  Vintage 数量与已观察坏账率：2018 年右删失信号清晰</w:t>
      </w:r>
    </w:p>
    <w:p>
      <w:pPr>
        <w:pStyle w:val="Heading1"/>
      </w:pPr>
      <w:r>
        <w:t>2. 泄露审查与特征工程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严格排除 grade、sub_grade、int_rate：它们是 LendingClub 既有授信判断的输出，放进新模型会形成 target leakage / policy leakage。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排除 funded_amnt、installment、recoveries、last_pymnt_*、total_pymnt_* 等放款或贷后字段。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排除州与 ZIP Code：即使可能带来 lift，也存在地域代理、公平性与跨市场迁移风险。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构造 loan_to_income 与 credit_history_months；所有缩尾边界只在开发集拟合，再原样应用于验证/OOT。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连续变量采用训练期分位点预分箱与相邻违约率单调合并；类别变量合并低频水平，使用 0.5 平滑计算 WOE/IV。</w:t>
      </w:r>
    </w:p>
    <w:p>
      <w:pPr>
        <w:pStyle w:val="Heading1"/>
      </w:pPr>
      <w:r>
        <w:t>3. 特征筛选与评分卡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候选变量共 34 个，经 IV≥0.02、IV≤0.50、WOE 相关性≤0.70 与最多 15 个变量的复杂度约束，最终保留 15 个变量。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最终变量：term、loan_to_income、fico_n、acc_open_past_24mths、dti、bc_open_to_buy、avg_cur_bal、loan_amnt、mths_since_recent_inq、percent_bc_gt_75、annual_inc、inq_last_6mths、num_actv_rev_tl、mort_acc、home_ownership。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变量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IV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term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0.2711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loan_to_income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0.1295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fico_n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0.1131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acc_open_past_24mths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0.0867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dti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0.0784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bc_open_to_buy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0.0577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avg_cur_bal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0.0455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total_bc_limit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0.0407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loan_amnt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0.0399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mths_since_recent_inq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0.0380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2" name="Picture 2" descr="图 2  开发样本 Information Value 排序" title="图 2  开发样本 Information Value 排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06A73"/>
          <w:sz w:val="18"/>
        </w:rPr>
        <w:t>图 2  开发样本 Information Value 排序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模型采用 L2 正则 Logistic Regression，以验证集 Log Loss 在 C∈{0.01,0.1,1,10} 中选参；随后只移动截距，使 2016 平均预测 PD 对齐观察坏账率。该校准不改变样本排序、系数相对作用、AUC 或 KS。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评分映射采用 Base Score=600、Base Odds(Good:Bad)=20:1、PDO=50；分数越高表示风险越低。</w:t>
      </w:r>
    </w:p>
    <w:p>
      <w:pPr>
        <w:pStyle w:val="Heading1"/>
      </w:pPr>
      <w:r>
        <w:t>4. 模型表现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1300"/>
        <w:gridCol w:w="1600"/>
        <w:gridCol w:w="1700"/>
        <w:gridCol w:w="1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样本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AUC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KS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实际坏账率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平均预测 PD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7"/>
              </w:rPr>
              <w:t>Brier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开发 2014–2015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0.713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30.9%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19.54%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24.83%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0.1450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验证 2016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0.693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27.5%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23.29%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23.29%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0.1633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OOT 2017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0.681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26.2%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23.13%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22.72%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7"/>
              </w:rPr>
              <w:t>0.1655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94480"/>
            <wp:docPr id="3" name="Picture 3" descr="图 3  2017 OOT ROC 曲线与 KS" title="图 3  2017 OOT ROC 曲线与 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t_roc_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06A73"/>
          <w:sz w:val="18"/>
        </w:rPr>
        <w:t>图 3  2017 OOT ROC 曲线与 KS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94480"/>
            <wp:docPr id="4" name="Picture 4" descr="图 4  2017 OOT 好坏客户评分分布" title="图 4  2017 OOT 好坏客户评分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t_score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06A73"/>
          <w:sz w:val="18"/>
        </w:rPr>
        <w:t>图 4  2017 OOT 好坏客户评分分布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2F3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22"/>
              </w:rPr>
              <w:t>风险排序解释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20"/>
              </w:rPr>
              <w:t>OOT 最高风险十分位观察坏账率为 45.2%，最低风险十分位为 6.1%，相差约 7.4 倍；校准后 OOT 平均预测 PD 为 22.72%，与实际 23.13% 接近。</w:t>
            </w:r>
          </w:p>
        </w:tc>
      </w:tr>
    </w:tbl>
    <w:p>
      <w:pPr>
        <w:spacing w:after="0"/>
      </w:pPr>
    </w:p>
    <w:p>
      <w:pPr>
        <w:pStyle w:val="Heading1"/>
      </w:pPr>
      <w:r>
        <w:t>5. 稳定性与监控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开发到 OOT 的 Score PSI=0.023，按常用经验阈值属于稳定区间。总分稳定不代表所有底层字段稳定，因此同时输出单变量 PSI；生产环境应将字段覆盖率、缺失率与 PSI 联合监控。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2000"/>
        <w:gridCol w:w="2360"/>
      </w:tblGrid>
      <w:tr>
        <w:trPr>
          <w:tblHeader w:val="true"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变量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PSI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状态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percent_bc_gt_75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0.1082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watch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bc_open_to_buy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0.0863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loan_to_income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0.0499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loan_amnt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0.0405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fico_n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0.0375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num_actv_rev_tl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0.0327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mort_acc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0.0201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acc_open_past_24mths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0.0158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annual_inc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0.0119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home_ownership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0.0100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stable</w:t>
            </w:r>
          </w:p>
        </w:tc>
      </w:tr>
    </w:tbl>
    <w:p>
      <w:pPr>
        <w:pStyle w:val="Heading1"/>
      </w:pPr>
      <w:r>
        <w:t>6. 策略阈值情景（非真实拒绝策略）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下表在历史已放款客户内部按分数由高到低截取，用于展示风险—规模 trade-off。由于没有拒绝客户的真实违约结果，这些“通过率”只能称为情景分析，不可直接解释为新客群的真实审批效果。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600"/>
        <w:gridCol w:w="3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目标通过率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分数阈值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通过客群坏账率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通过客群包含的违约占比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30%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513.6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10.54%</w:t>
            </w:r>
          </w:p>
        </w:tc>
        <w:tc>
          <w:tcPr>
            <w:tcW w:type="dxa" w:w="3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13.67%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50%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485.4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13.95%</w:t>
            </w:r>
          </w:p>
        </w:tc>
        <w:tc>
          <w:tcPr>
            <w:tcW w:type="dxa" w:w="3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30.14%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70%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455.9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17.16%</w:t>
            </w:r>
          </w:p>
        </w:tc>
        <w:tc>
          <w:tcPr>
            <w:tcW w:type="dxa" w:w="3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51.93%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90%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406.2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20.68%</w:t>
            </w:r>
          </w:p>
        </w:tc>
        <w:tc>
          <w:tcPr>
            <w:tcW w:type="dxa" w:w="316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18"/>
              </w:rPr>
              <w:t>80.44%</w:t>
            </w:r>
          </w:p>
        </w:tc>
      </w:tr>
    </w:tbl>
    <w:p>
      <w:pPr>
        <w:pStyle w:val="Heading1"/>
      </w:pPr>
      <w:r>
        <w:t>7. 模型边界与生产化缺口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样本只有历史已放款客户，存在 selection bias；Rejected Loans 没有真实表现标签，不能声称已完成 reject inference。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美国 P2P 个人贷样本不能直接迁移为中国数字银行模型，项目价值在于可复现的方法、治理意识和策略翻译能力。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公开数据缺少欺诈标签、设备与行为序列、收入核验、LGD/EAD、资金成本和运营成本，不能据此计算真实利润最大化阈值。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正式投产还需要公平性测试、模型审批、版本管理、champion/challenger、监控阈值及回滚机制。</w:t>
      </w:r>
    </w:p>
    <w:p>
      <w:pPr>
        <w:pStyle w:val="Heading1"/>
      </w:pPr>
      <w:r>
        <w:t>8. 可直接用于简历的项目表述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2F3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22"/>
              </w:rPr>
              <w:t>项目名称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8"/>
                <w:sz w:val="20"/>
              </w:rPr>
              <w:t>LendingClub 贷前申请评分卡与风险策略监控  |  Python / WOE / Logistic Regression  |  2026.07</w:t>
            </w:r>
          </w:p>
        </w:tc>
      </w:tr>
    </w:tbl>
    <w:p>
      <w:pPr>
        <w:spacing w:after="0"/>
      </w:pP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样本与治理：对 226 万条公开借贷记录进行状态、时间窗与字段可用性审计，形成约 134.5 万条已结清/违约表现样本；识别 2018 年右删失，采用 2014–2015 开发、2016 验证、2017 OOT，避免随机切分造成时间穿越。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建模与评分：对 34 个贷前申请/征信变量完成训练期缩尾、单调 WOE 分箱、IV 与相关性筛选，保留 15 项变量构建 Logistic 评分卡，并完成 600 分、20:1 Base Odds、PDO50 的分数映射与验证期截距校准。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效果与策略：2017 OOT AUC=0.681、KS=26.2%、Score PSI=0.023，最高/最低风险十分位坏账率为 45.2%/6.1%；输出 PSI 监控、Lift 与不同目标通过率下的 cutoff 情景，并明确 accepted-only 样本偏差。</w:t>
      </w:r>
    </w:p>
    <w:p>
      <w:pPr>
        <w:pStyle w:val="Heading1"/>
      </w:pPr>
      <w:r>
        <w:t>9. 面试追问口径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为什么不用随机切分？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信贷风险随宏观环境、平台政策和客群结构漂移。随机切分会把未来分布泄露进训练，使指标虚高；OOT 更接近真实上线。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为什么删掉 grade 和利率？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它们是 LendingClub 原有风控决策的结果，等于把旧模型答案喂给新模型，会形成 policy leakage。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为什么选 Logistic 而不是只做 XGBoost？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评分卡需要稳定、可解释、易审计和可映射为分数。树模型可以作为 challenger，但不应替代基线治理。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AUC 0.67 是否太低？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项目严格限制为申请时点变量并做 OOT；指标是诚实的跨期表现。风险模型还要看稳定性、校准、可解释性和策略价值，不能只追单一 AUC。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PD 为什么要校准？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排序正确不等于总体风险水平正确。2016 客群坏账率上升，只移动截距可修正先验坏账率，同时保留所有排序和变量相对作用。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为什么不能直接用 rejected 数据？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Rejected Loans 没有真实违约标签；把“被拒”当成“违约”是伪标签。需要 reject inference 假设或后续可观测表现，且必须披露偏差。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策略阈值怎么定？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本项目只展示通过率—坏账率情景。生产中还要把 PD 与 LGD、EAD、利率、资金与运营成本相连，按预期利润和风险偏好定阈值。</w:t>
      </w:r>
    </w:p>
    <w:p>
      <w:pPr>
        <w:pStyle w:val="BodyTextCustom"/>
      </w:pPr>
      <w:r>
        <w:rPr>
          <w:rFonts w:ascii="Noto Sans CJK SC" w:hAnsi="Noto Sans CJK SC" w:eastAsia="Noto Sans CJK SC"/>
          <w:b/>
          <w:i w:val="0"/>
          <w:color w:val="18324A"/>
          <w:sz w:val="21"/>
        </w:rPr>
        <w:t xml:space="preserve">上线后监控什么？ </w:t>
      </w: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Score/Feature PSI、缺失率、字段覆盖率、AUC/KS、校准、Vintage、审批率与坏账率；超过阈值触发排查、重校准或重训。</w:t>
      </w:r>
    </w:p>
    <w:p>
      <w:pPr>
        <w:pStyle w:val="Heading1"/>
      </w:pPr>
      <w:r>
        <w:t>10. 复现与交付结构</w:t>
      </w:r>
    </w:p>
    <w:p>
      <w:pPr>
        <w:pStyle w:val="BodyTextCustom"/>
      </w:pPr>
      <w:r>
        <w:rPr>
          <w:rFonts w:ascii="Noto Sans CJK SC" w:hAnsi="Noto Sans CJK SC" w:eastAsia="Noto Sans CJK SC"/>
          <w:b w:val="0"/>
          <w:i w:val="0"/>
          <w:color w:val="202428"/>
          <w:sz w:val="21"/>
        </w:rPr>
        <w:t>一键复现：先运行 `python scripts/download_data.py` 下载并校验数据，再运行 `python scripts/train_scorecard.py` 生成模型、分箱、指标、PSI、策略表与图形。单元测试命令为 `PYTHONPATH=src python -m unittest discover -s tests -v`。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src/credit_scorecard：数据治理、WOE 分箱、特征筛选、Logistic、评分映射、监控与报告模块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configs/model_config.json：数据、时间窗、特征、分箱、筛选、模型和评分参数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artifacts：分箱规则、IV/系数、scorecard points、AUC/KS、PSI、Lift、策略阈值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reports：Markdown 模型报告、图形与本 Word 报告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tests：分箱单调性、未见类别、评分可逆性、PSI、截距校准测试</w:t>
      </w:r>
    </w:p>
    <w:p>
      <w:pPr>
        <w:pStyle w:val="Heading1"/>
      </w:pPr>
      <w:r>
        <w:t>数据来源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Kaggle：All Lending Club loan data — https://www.kaggle.com/datasets/wordsforthewise/lending-club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DePaul University 公共镜像与数据字典 — https://bigblue.depaul.edu/jlee141/econdata/LendingClub_LoanData/</w:t>
      </w:r>
    </w:p>
    <w:p>
      <w:pPr>
        <w:pStyle w:val="BulletCustom"/>
      </w:pPr>
      <w:r>
        <w:rPr>
          <w:rFonts w:ascii="Noto Sans CJK SC" w:hAnsi="Noto Sans CJK SC" w:eastAsia="Noto Sans CJK SC"/>
          <w:b w:val="0"/>
          <w:i w:val="0"/>
          <w:color w:val="202428"/>
          <w:sz w:val="20"/>
        </w:rPr>
        <w:t>•  UCM / Zenodo 贷前授信治理版数据说明（用于字段泄露交叉校验）— https://doi.org/10.5281/zenodo.11295916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06A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606A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i w:val="0"/>
        <w:color w:val="606A73"/>
        <w:sz w:val="17"/>
      </w:rPr>
      <w:t>LENDINGCLUB 贷前信用评分卡  |  模型开发与风险策略报告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7F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 Text Custom"/>
    <w:basedOn w:val="Normal"/>
    <w:pPr>
      <w:spacing w:before="0" w:after="120" w:line="264" w:lineRule="auto"/>
      <w:jc w:val="both"/>
    </w:pPr>
  </w:style>
  <w:style w:type="paragraph" w:customStyle="1" w:styleId="BulletCustom">
    <w:name w:val="Bullet Custom"/>
    <w:basedOn w:val="Normal"/>
    <w:pPr>
      <w:spacing w:after="100" w:line="264" w:lineRule="auto"/>
      <w:ind w:left="72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