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0F40" w14:textId="77777777" w:rsidR="00212B9D" w:rsidRDefault="00656550">
      <w:pPr>
        <w:pStyle w:val="Heading1"/>
      </w:pPr>
      <w:bookmarkStart w:id="0" w:name="firewall-rules-guidelines"/>
      <w:r>
        <w:t>Firewall Rules Guidelines</w:t>
      </w:r>
    </w:p>
    <w:p w14:paraId="541E0F41" w14:textId="77777777" w:rsidR="00212B9D" w:rsidRDefault="00656550">
      <w:pPr>
        <w:pStyle w:val="Heading2"/>
      </w:pPr>
      <w:bookmarkStart w:id="1" w:name="document-information"/>
      <w:r>
        <w:t>| Document Information |</w:t>
      </w:r>
    </w:p>
    <w:p w14:paraId="541E0F42" w14:textId="77777777" w:rsidR="00212B9D" w:rsidRDefault="00656550">
      <w:pPr>
        <w:pStyle w:val="FirstParagraph"/>
      </w:pPr>
      <w:r>
        <w:t>Category: Architecture Guidelines |</w:t>
      </w:r>
      <w:r>
        <w:br/>
        <w:t>Created: 2022-03-22 |</w:t>
      </w:r>
      <w:r>
        <w:br/>
        <w:t>Domain: Security |</w:t>
      </w:r>
      <w:r>
        <w:br/>
        <w:t>Author: pete.dingwall@education.gov.uk |</w:t>
      </w:r>
      <w:r>
        <w:br/>
      </w:r>
      <w:r>
        <w:t>References: PRI-SEC004 - Firewall Guidelines |</w:t>
      </w:r>
    </w:p>
    <w:p w14:paraId="541E0F43" w14:textId="77777777" w:rsidR="00212B9D" w:rsidRDefault="00656550">
      <w:pPr>
        <w:pStyle w:val="Heading2"/>
      </w:pPr>
      <w:bookmarkStart w:id="2" w:name="Xa229694a89ec13fbd952af2afa88c65e27bb795"/>
      <w:bookmarkEnd w:id="1"/>
      <w:r>
        <w:t>Baseline guidelines for firewall rulesets and access</w:t>
      </w:r>
    </w:p>
    <w:p w14:paraId="541E0F44" w14:textId="77777777" w:rsidR="00212B9D" w:rsidRDefault="00656550">
      <w:pPr>
        <w:pStyle w:val="FirstParagraph"/>
      </w:pPr>
      <w:r>
        <w:t>The following guidelines are provided to guide Department operational teams when creating and maintaining firewall policies, and managing requests for acces</w:t>
      </w:r>
      <w:r>
        <w:t>s from the Department’s delivery and operational teams</w:t>
      </w:r>
    </w:p>
    <w:p w14:paraId="541E0F45" w14:textId="77777777" w:rsidR="00212B9D" w:rsidRDefault="00656550">
      <w:pPr>
        <w:pStyle w:val="BodyText"/>
      </w:pPr>
      <w:r>
        <w:rPr>
          <w:b/>
          <w:bCs/>
        </w:rPr>
        <w:t>Exceptions</w:t>
      </w:r>
      <w:r>
        <w:t xml:space="preserve"> to the guidelines will be reviewed with the security and architecture governance teams and approved or declined as relevant, with all decisions tracked with rationale for future reference.</w:t>
      </w:r>
    </w:p>
    <w:p w14:paraId="541E0F46" w14:textId="77777777" w:rsidR="00212B9D" w:rsidRDefault="00656550">
      <w:pPr>
        <w:pStyle w:val="BodyText"/>
      </w:pPr>
      <w:r>
        <w:rPr>
          <w:b/>
          <w:bCs/>
        </w:rPr>
        <w:t>U</w:t>
      </w:r>
      <w:r>
        <w:rPr>
          <w:b/>
          <w:bCs/>
        </w:rPr>
        <w:t>pdates or modifications</w:t>
      </w:r>
      <w:r>
        <w:t xml:space="preserve"> to the principles can be requested via the owning architect, and will be reviewed against the roadmap and strategy and within the Architecture profession.</w:t>
      </w:r>
    </w:p>
    <w:p w14:paraId="541E0F47" w14:textId="77777777" w:rsidR="00212B9D" w:rsidRDefault="00656550">
      <w:pPr>
        <w:pStyle w:val="BodyText"/>
      </w:pPr>
      <w:r>
        <w:rPr>
          <w:b/>
          <w:bCs/>
        </w:rPr>
        <w:t>Escalations</w:t>
      </w:r>
      <w:r>
        <w:t xml:space="preserve"> will be dealt with within the immediate leadership within the rel</w:t>
      </w:r>
      <w:r>
        <w:t>evant architecture domain (up to DD level) and to the SLT by exception.</w:t>
      </w:r>
    </w:p>
    <w:p w14:paraId="541E0F48" w14:textId="77777777" w:rsidR="00212B9D" w:rsidRDefault="00656550">
      <w:pPr>
        <w:pStyle w:val="Heading2"/>
      </w:pPr>
      <w:bookmarkStart w:id="3" w:name="introduction"/>
      <w:bookmarkEnd w:id="2"/>
      <w:r>
        <w:t>Introduction</w:t>
      </w:r>
    </w:p>
    <w:p w14:paraId="541E0F49" w14:textId="77777777" w:rsidR="00212B9D" w:rsidRDefault="00656550">
      <w:pPr>
        <w:pStyle w:val="FirstParagraph"/>
      </w:pPr>
      <w:r>
        <w:t>The guidelines are provided for baseline guidance for the definition of firewall policies and management of firewalls, and to provide an understanding of the common and no</w:t>
      </w:r>
      <w:r>
        <w:t>n-standard ports and protocols used within the Department,</w:t>
      </w:r>
    </w:p>
    <w:p w14:paraId="541E0F4A" w14:textId="77777777" w:rsidR="00212B9D" w:rsidRDefault="00656550">
      <w:pPr>
        <w:pStyle w:val="Heading2"/>
      </w:pPr>
      <w:bookmarkStart w:id="4" w:name="manage-admin-access-appropriately"/>
      <w:bookmarkEnd w:id="3"/>
      <w:r>
        <w:t>Manage admin access appropriately</w:t>
      </w:r>
    </w:p>
    <w:p w14:paraId="541E0F4B" w14:textId="77777777" w:rsidR="00212B9D" w:rsidRDefault="00656550">
      <w:pPr>
        <w:pStyle w:val="Heading4"/>
      </w:pPr>
      <w:bookmarkStart w:id="5" w:name="how"/>
      <w:r>
        <w:t>How?</w:t>
      </w:r>
    </w:p>
    <w:p w14:paraId="541E0F4C" w14:textId="77777777" w:rsidR="00212B9D" w:rsidRDefault="00656550">
      <w:pPr>
        <w:pStyle w:val="FirstParagraph"/>
      </w:pPr>
      <w:r>
        <w:rPr>
          <w:i/>
          <w:iCs/>
        </w:rPr>
        <w:t>Review PRI-SEC001 (Authentication principles) and follow guidelines to secure administrative access</w:t>
      </w:r>
    </w:p>
    <w:p w14:paraId="541E0F4D" w14:textId="77777777" w:rsidR="00212B9D" w:rsidRDefault="00656550">
      <w:pPr>
        <w:pStyle w:val="Heading4"/>
      </w:pPr>
      <w:bookmarkStart w:id="6" w:name="why"/>
      <w:bookmarkEnd w:id="5"/>
      <w:r>
        <w:t>Why?</w:t>
      </w:r>
    </w:p>
    <w:p w14:paraId="541E0F4E" w14:textId="77777777" w:rsidR="00212B9D" w:rsidRDefault="00656550">
      <w:pPr>
        <w:pStyle w:val="Compact"/>
        <w:numPr>
          <w:ilvl w:val="0"/>
          <w:numId w:val="2"/>
        </w:numPr>
      </w:pPr>
      <w:r>
        <w:t>Following least privilege at all times ensures that a</w:t>
      </w:r>
      <w:r>
        <w:t>ny changes are made consciously and appropriately</w:t>
      </w:r>
    </w:p>
    <w:p w14:paraId="541E0F4F" w14:textId="77777777" w:rsidR="00212B9D" w:rsidRDefault="00656550">
      <w:pPr>
        <w:pStyle w:val="Compact"/>
        <w:numPr>
          <w:ilvl w:val="0"/>
          <w:numId w:val="2"/>
        </w:numPr>
      </w:pPr>
      <w:r>
        <w:t>Using a well-defined role-based access control (RBAC) method ensures that permissions required to manage the platform are appropriate</w:t>
      </w:r>
    </w:p>
    <w:p w14:paraId="541E0F50" w14:textId="77777777" w:rsidR="00212B9D" w:rsidRDefault="00656550">
      <w:pPr>
        <w:pStyle w:val="Compact"/>
        <w:numPr>
          <w:ilvl w:val="0"/>
          <w:numId w:val="2"/>
        </w:numPr>
      </w:pPr>
      <w:r>
        <w:t>Using a Just-In-Time access model, complemented with the least-privilege</w:t>
      </w:r>
      <w:r>
        <w:t xml:space="preserve"> model, ensures that access is only provided when required for the specific task</w:t>
      </w:r>
    </w:p>
    <w:p w14:paraId="541E0F51" w14:textId="77777777" w:rsidR="00212B9D" w:rsidRDefault="00656550">
      <w:pPr>
        <w:pStyle w:val="Compact"/>
        <w:numPr>
          <w:ilvl w:val="0"/>
          <w:numId w:val="2"/>
        </w:numPr>
      </w:pPr>
      <w:r>
        <w:lastRenderedPageBreak/>
        <w:t>Separation of Duties must be followed to ensure that teams managing multiple environments only have access to the specific environment and service (Dev/UAT/Prod etc)</w:t>
      </w:r>
    </w:p>
    <w:p w14:paraId="541E0F52" w14:textId="77777777" w:rsidR="00212B9D" w:rsidRDefault="00656550">
      <w:pPr>
        <w:pStyle w:val="Compact"/>
        <w:numPr>
          <w:ilvl w:val="0"/>
          <w:numId w:val="2"/>
        </w:numPr>
      </w:pPr>
      <w:r>
        <w:t>Restricti</w:t>
      </w:r>
      <w:r>
        <w:t>ng access from DfE devices (not from BYO or 3rd party) ensures that the access is protected and secured appropriately</w:t>
      </w:r>
    </w:p>
    <w:p w14:paraId="541E0F53" w14:textId="77777777" w:rsidR="00212B9D" w:rsidRDefault="00656550">
      <w:pPr>
        <w:pStyle w:val="Heading2"/>
      </w:pPr>
      <w:bookmarkStart w:id="7" w:name="general-guidelines-for-firewall-rules"/>
      <w:bookmarkEnd w:id="6"/>
      <w:bookmarkEnd w:id="4"/>
      <w:r>
        <w:t>General guidelines for firewall rules</w:t>
      </w:r>
    </w:p>
    <w:p w14:paraId="541E0F54" w14:textId="77777777" w:rsidR="00212B9D" w:rsidRDefault="00656550">
      <w:pPr>
        <w:pStyle w:val="Heading3"/>
      </w:pPr>
      <w:bookmarkStart w:id="8" w:name="block-inappropriate-traffic"/>
      <w:r>
        <w:t>Block inappropriate traffic</w:t>
      </w:r>
    </w:p>
    <w:p w14:paraId="541E0F55" w14:textId="77777777" w:rsidR="00212B9D" w:rsidRDefault="00656550">
      <w:pPr>
        <w:pStyle w:val="Heading4"/>
      </w:pPr>
      <w:bookmarkStart w:id="9" w:name="why-1"/>
      <w:r>
        <w:t>Why</w:t>
      </w:r>
    </w:p>
    <w:p w14:paraId="541E0F56" w14:textId="77777777" w:rsidR="00212B9D" w:rsidRDefault="00656550">
      <w:pPr>
        <w:pStyle w:val="Compact"/>
        <w:numPr>
          <w:ilvl w:val="0"/>
          <w:numId w:val="3"/>
        </w:numPr>
      </w:pPr>
      <w:r>
        <w:t>block rfc 6761 1918 4913 for inbound or Internet access</w:t>
      </w:r>
    </w:p>
    <w:p w14:paraId="541E0F57" w14:textId="77777777" w:rsidR="00212B9D" w:rsidRDefault="00656550">
      <w:pPr>
        <w:pStyle w:val="Compact"/>
        <w:numPr>
          <w:ilvl w:val="0"/>
          <w:numId w:val="3"/>
        </w:numPr>
      </w:pPr>
      <w:r>
        <w:t>drop from se</w:t>
      </w:r>
      <w:r>
        <w:t>rver vlans not dmz</w:t>
      </w:r>
    </w:p>
    <w:p w14:paraId="541E0F58" w14:textId="77777777" w:rsidR="00212B9D" w:rsidRDefault="00656550">
      <w:pPr>
        <w:pStyle w:val="Compact"/>
        <w:numPr>
          <w:ilvl w:val="0"/>
          <w:numId w:val="3"/>
        </w:numPr>
      </w:pPr>
      <w:r>
        <w:t>Outbound blocked from servers in DMZ other than for their service</w:t>
      </w:r>
    </w:p>
    <w:p w14:paraId="541E0F59" w14:textId="77777777" w:rsidR="00212B9D" w:rsidRDefault="00656550">
      <w:pPr>
        <w:pStyle w:val="Compact"/>
        <w:numPr>
          <w:ilvl w:val="0"/>
          <w:numId w:val="3"/>
        </w:numPr>
      </w:pPr>
      <w:r>
        <w:t>Block broadcast</w:t>
      </w:r>
    </w:p>
    <w:p w14:paraId="541E0F5A" w14:textId="77777777" w:rsidR="00212B9D" w:rsidRDefault="00656550">
      <w:pPr>
        <w:pStyle w:val="Compact"/>
        <w:numPr>
          <w:ilvl w:val="0"/>
          <w:numId w:val="3"/>
        </w:numPr>
      </w:pPr>
      <w:r>
        <w:t>Use deny-all</w:t>
      </w:r>
    </w:p>
    <w:p w14:paraId="541E0F5B" w14:textId="77777777" w:rsidR="00212B9D" w:rsidRDefault="00656550">
      <w:pPr>
        <w:pStyle w:val="Heading3"/>
      </w:pPr>
      <w:bookmarkStart w:id="10" w:name="Xbd9a16faa277f596566d5359d1fb19cdc2218e7"/>
      <w:bookmarkEnd w:id="9"/>
      <w:bookmarkEnd w:id="8"/>
      <w:r>
        <w:t>Enable access consciously and limit to least-access</w:t>
      </w:r>
    </w:p>
    <w:p w14:paraId="541E0F5C" w14:textId="77777777" w:rsidR="00212B9D" w:rsidRDefault="00656550">
      <w:pPr>
        <w:pStyle w:val="Compact"/>
        <w:numPr>
          <w:ilvl w:val="0"/>
          <w:numId w:val="4"/>
        </w:numPr>
      </w:pPr>
      <w:r>
        <w:t>Open up consciously</w:t>
      </w:r>
    </w:p>
    <w:p w14:paraId="541E0F5D" w14:textId="77777777" w:rsidR="00212B9D" w:rsidRDefault="00656550">
      <w:pPr>
        <w:pStyle w:val="Compact"/>
        <w:numPr>
          <w:ilvl w:val="0"/>
          <w:numId w:val="4"/>
        </w:numPr>
      </w:pPr>
      <w:r>
        <w:t>Limit access to only what's required</w:t>
      </w:r>
    </w:p>
    <w:p w14:paraId="541E0F5E" w14:textId="77777777" w:rsidR="00212B9D" w:rsidRDefault="00656550">
      <w:pPr>
        <w:pStyle w:val="Heading3"/>
      </w:pPr>
      <w:bookmarkStart w:id="11" w:name="X94b25951a02501ec3fa0ba54e6b212ea68edd43"/>
      <w:bookmarkEnd w:id="10"/>
      <w:r>
        <w:t>Restrict access to services which could enable direct Internet access</w:t>
      </w:r>
    </w:p>
    <w:p w14:paraId="541E0F5F" w14:textId="77777777" w:rsidR="00212B9D" w:rsidRDefault="00656550">
      <w:pPr>
        <w:pStyle w:val="Compact"/>
        <w:numPr>
          <w:ilvl w:val="0"/>
          <w:numId w:val="5"/>
        </w:numPr>
      </w:pPr>
      <w:r>
        <w:t>Web access from all devices is via a proxy, no direct access to services</w:t>
      </w:r>
    </w:p>
    <w:p w14:paraId="541E0F60" w14:textId="77777777" w:rsidR="00212B9D" w:rsidRDefault="00656550">
      <w:pPr>
        <w:pStyle w:val="Compact"/>
        <w:numPr>
          <w:ilvl w:val="0"/>
          <w:numId w:val="5"/>
        </w:numPr>
      </w:pPr>
      <w:r>
        <w:t>DNS access from clients not permitted, resolution only via our managed DNS t</w:t>
      </w:r>
      <w:r>
        <w:t>o stop direct access</w:t>
      </w:r>
    </w:p>
    <w:p w14:paraId="541E0F61" w14:textId="77777777" w:rsidR="00212B9D" w:rsidRDefault="00656550">
      <w:pPr>
        <w:pStyle w:val="Heading3"/>
      </w:pPr>
      <w:bookmarkStart w:id="12" w:name="use-automation-if-available"/>
      <w:bookmarkEnd w:id="11"/>
      <w:r>
        <w:t>Use automation if available</w:t>
      </w:r>
    </w:p>
    <w:p w14:paraId="541E0F62" w14:textId="77777777" w:rsidR="00212B9D" w:rsidRDefault="00656550">
      <w:pPr>
        <w:pStyle w:val="Compact"/>
        <w:numPr>
          <w:ilvl w:val="0"/>
          <w:numId w:val="6"/>
        </w:numPr>
      </w:pPr>
      <w:r>
        <w:t>Use automated feeds for cloud services to manage dynamic IP ranges (MS RSS for Azure etc)</w:t>
      </w:r>
    </w:p>
    <w:p w14:paraId="541E0F63" w14:textId="77777777" w:rsidR="00212B9D" w:rsidRDefault="00656550">
      <w:pPr>
        <w:pStyle w:val="Compact"/>
        <w:numPr>
          <w:ilvl w:val="0"/>
          <w:numId w:val="6"/>
        </w:numPr>
      </w:pPr>
      <w:r>
        <w:t>Investigate PA ability to take live feeds</w:t>
      </w:r>
    </w:p>
    <w:p w14:paraId="541E0F64" w14:textId="77777777" w:rsidR="00212B9D" w:rsidRDefault="00656550">
      <w:pPr>
        <w:pStyle w:val="Compact"/>
        <w:numPr>
          <w:ilvl w:val="0"/>
          <w:numId w:val="6"/>
        </w:numPr>
      </w:pPr>
      <w:r>
        <w:t>Threat feeds</w:t>
      </w:r>
    </w:p>
    <w:p w14:paraId="541E0F65" w14:textId="77777777" w:rsidR="00212B9D" w:rsidRDefault="00656550">
      <w:pPr>
        <w:pStyle w:val="Heading3"/>
      </w:pPr>
      <w:bookmarkStart w:id="13" w:name="X6c9ba11cc2715d1528b054056473afe227ca40c"/>
      <w:bookmarkEnd w:id="12"/>
      <w:r>
        <w:t>Services are responsible and accountable for their access</w:t>
      </w:r>
    </w:p>
    <w:p w14:paraId="541E0F66" w14:textId="77777777" w:rsidR="00212B9D" w:rsidRDefault="00656550">
      <w:pPr>
        <w:numPr>
          <w:ilvl w:val="0"/>
          <w:numId w:val="7"/>
        </w:numPr>
      </w:pPr>
      <w:r>
        <w:t>Serv</w:t>
      </w:r>
      <w:r>
        <w:t>ices must document and validate any outbound or inbound requirements</w:t>
      </w:r>
    </w:p>
    <w:p w14:paraId="541E0F67" w14:textId="77777777" w:rsidR="00212B9D" w:rsidRDefault="00656550">
      <w:pPr>
        <w:numPr>
          <w:ilvl w:val="0"/>
          <w:numId w:val="7"/>
        </w:numPr>
      </w:pPr>
      <w:r>
        <w:t>Services must consider their attack surface and only open what’s required</w:t>
      </w:r>
    </w:p>
    <w:p w14:paraId="541E0F68" w14:textId="77777777" w:rsidR="00212B9D" w:rsidRDefault="00656550">
      <w:pPr>
        <w:numPr>
          <w:ilvl w:val="0"/>
          <w:numId w:val="7"/>
        </w:numPr>
      </w:pPr>
      <w:r>
        <w:t>Recertification of inbound and external access every X months</w:t>
      </w:r>
    </w:p>
    <w:p w14:paraId="541E0F69" w14:textId="77777777" w:rsidR="00212B9D" w:rsidRDefault="00656550">
      <w:pPr>
        <w:numPr>
          <w:ilvl w:val="0"/>
          <w:numId w:val="7"/>
        </w:numPr>
      </w:pPr>
      <w:r>
        <w:t>simple as someone ticking "still required" but audi</w:t>
      </w:r>
      <w:r>
        <w:t>ted and risk owned by person ticking the box</w:t>
      </w:r>
    </w:p>
    <w:p w14:paraId="541E0F6A" w14:textId="77777777" w:rsidR="00212B9D" w:rsidRDefault="00656550">
      <w:pPr>
        <w:numPr>
          <w:ilvl w:val="0"/>
          <w:numId w:val="7"/>
        </w:numPr>
      </w:pPr>
      <w:r>
        <w:t>Known IP ranges is a brittle control and should be used as part of a defence-in-depth strategy</w:t>
      </w:r>
    </w:p>
    <w:p w14:paraId="541E0F6B" w14:textId="77777777" w:rsidR="00212B9D" w:rsidRDefault="00656550">
      <w:pPr>
        <w:pStyle w:val="Heading3"/>
      </w:pPr>
      <w:bookmarkStart w:id="14" w:name="run-services-on-standard-ports"/>
      <w:bookmarkEnd w:id="13"/>
      <w:r>
        <w:t>Run services on standard ports</w:t>
      </w:r>
    </w:p>
    <w:p w14:paraId="541E0F6C" w14:textId="77777777" w:rsidR="00212B9D" w:rsidRDefault="00656550">
      <w:pPr>
        <w:pStyle w:val="Compact"/>
        <w:numPr>
          <w:ilvl w:val="0"/>
          <w:numId w:val="8"/>
        </w:numPr>
      </w:pPr>
      <w:r>
        <w:t>No running of standard services on non-standard ports (obfuscating RDP access)</w:t>
      </w:r>
    </w:p>
    <w:p w14:paraId="541E0F6D" w14:textId="77777777" w:rsidR="00212B9D" w:rsidRDefault="00656550">
      <w:pPr>
        <w:pStyle w:val="Heading3"/>
      </w:pPr>
      <w:bookmarkStart w:id="15" w:name="X3ffe050c429fbd531224b67b7f9d3cb386706ea"/>
      <w:bookmarkEnd w:id="14"/>
      <w:r>
        <w:lastRenderedPageBreak/>
        <w:t>Access</w:t>
      </w:r>
      <w:r>
        <w:t xml:space="preserve"> is only granted to valid endpoints</w:t>
      </w:r>
    </w:p>
    <w:p w14:paraId="541E0F6E" w14:textId="77777777" w:rsidR="00212B9D" w:rsidRDefault="00656550">
      <w:pPr>
        <w:numPr>
          <w:ilvl w:val="0"/>
          <w:numId w:val="9"/>
        </w:numPr>
      </w:pPr>
      <w:r>
        <w:t>Remote endpoints using registered and valid domains</w:t>
      </w:r>
    </w:p>
    <w:p w14:paraId="541E0F6F" w14:textId="77777777" w:rsidR="00212B9D" w:rsidRDefault="00656550">
      <w:pPr>
        <w:numPr>
          <w:ilvl w:val="1"/>
          <w:numId w:val="10"/>
        </w:numPr>
      </w:pPr>
      <w:r>
        <w:t>no URL shorteners (ow.ly, bit.ly etc)</w:t>
      </w:r>
    </w:p>
    <w:p w14:paraId="541E0F70" w14:textId="77777777" w:rsidR="00212B9D" w:rsidRDefault="00656550">
      <w:pPr>
        <w:numPr>
          <w:ilvl w:val="1"/>
          <w:numId w:val="10"/>
        </w:numPr>
      </w:pPr>
      <w:r>
        <w:t>no dynamic DNS domains</w:t>
      </w:r>
    </w:p>
    <w:p w14:paraId="541E0F71" w14:textId="77777777" w:rsidR="00212B9D" w:rsidRDefault="00656550">
      <w:pPr>
        <w:numPr>
          <w:ilvl w:val="1"/>
          <w:numId w:val="10"/>
        </w:numPr>
      </w:pPr>
      <w:r>
        <w:t>no consumer-level services</w:t>
      </w:r>
    </w:p>
    <w:p w14:paraId="541E0F72" w14:textId="77777777" w:rsidR="00212B9D" w:rsidRDefault="00656550">
      <w:pPr>
        <w:numPr>
          <w:ilvl w:val="1"/>
          <w:numId w:val="10"/>
        </w:numPr>
      </w:pPr>
      <w:r>
        <w:t>no consumer hosting platforms (GoDaddy, SquareSpace, Wordpress etc)</w:t>
      </w:r>
    </w:p>
    <w:p w14:paraId="541E0F73" w14:textId="77777777" w:rsidR="00212B9D" w:rsidRDefault="00656550">
      <w:pPr>
        <w:pStyle w:val="Heading2"/>
      </w:pPr>
      <w:bookmarkStart w:id="16" w:name="logging"/>
      <w:bookmarkEnd w:id="15"/>
      <w:bookmarkEnd w:id="7"/>
      <w:r>
        <w:t>Logging</w:t>
      </w:r>
    </w:p>
    <w:p w14:paraId="541E0F74" w14:textId="77777777" w:rsidR="00212B9D" w:rsidRDefault="00656550">
      <w:pPr>
        <w:pStyle w:val="Compact"/>
        <w:numPr>
          <w:ilvl w:val="0"/>
          <w:numId w:val="11"/>
        </w:numPr>
      </w:pPr>
      <w:r>
        <w:t>admin access logs into Splunk</w:t>
      </w:r>
    </w:p>
    <w:p w14:paraId="541E0F75" w14:textId="77777777" w:rsidR="00212B9D" w:rsidRDefault="00656550">
      <w:pPr>
        <w:pStyle w:val="Compact"/>
        <w:numPr>
          <w:ilvl w:val="0"/>
          <w:numId w:val="11"/>
        </w:numPr>
      </w:pPr>
      <w:r>
        <w:t>Firewall logs to Panorama, with critical alerts and important messages into Splunk</w:t>
      </w:r>
    </w:p>
    <w:p w14:paraId="541E0F76" w14:textId="77777777" w:rsidR="00212B9D" w:rsidRDefault="00656550">
      <w:pPr>
        <w:pStyle w:val="Heading2"/>
      </w:pPr>
      <w:bookmarkStart w:id="17" w:name="outbound-access"/>
      <w:bookmarkEnd w:id="16"/>
      <w:r>
        <w:t>Outbound access</w:t>
      </w:r>
    </w:p>
    <w:p w14:paraId="541E0F77" w14:textId="77777777" w:rsidR="00212B9D" w:rsidRDefault="00656550">
      <w:pPr>
        <w:pStyle w:val="Heading3"/>
      </w:pPr>
      <w:bookmarkStart w:id="18" w:name="defaults"/>
      <w:r>
        <w:t>Defaults</w:t>
      </w:r>
    </w:p>
    <w:p w14:paraId="541E0F78" w14:textId="77777777" w:rsidR="00212B9D" w:rsidRDefault="00656550">
      <w:pPr>
        <w:pStyle w:val="FirstParagraph"/>
      </w:pPr>
      <w:r>
        <w:t>The following services and protocols are allowed outbound by default for public-facing services within DMZs: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62"/>
        <w:gridCol w:w="1801"/>
      </w:tblGrid>
      <w:tr w:rsidR="00212B9D" w14:paraId="541E0F7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E0F79" w14:textId="77777777" w:rsidR="00212B9D" w:rsidRDefault="00656550">
            <w:pPr>
              <w:pStyle w:val="Compact"/>
            </w:pPr>
            <w:r>
              <w:t>Service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E0F7A" w14:textId="77777777" w:rsidR="00212B9D" w:rsidRDefault="00656550">
            <w:pPr>
              <w:pStyle w:val="Compact"/>
            </w:pPr>
            <w:r>
              <w:t>Protocol &amp; Port</w:t>
            </w:r>
          </w:p>
        </w:tc>
      </w:tr>
      <w:tr w:rsidR="00212B9D" w14:paraId="541E0F7E" w14:textId="77777777">
        <w:tc>
          <w:tcPr>
            <w:tcW w:w="0" w:type="auto"/>
          </w:tcPr>
          <w:p w14:paraId="541E0F7C" w14:textId="77777777" w:rsidR="00212B9D" w:rsidRDefault="00656550">
            <w:pPr>
              <w:pStyle w:val="Compact"/>
            </w:pPr>
            <w:r>
              <w:t>http</w:t>
            </w:r>
          </w:p>
        </w:tc>
        <w:tc>
          <w:tcPr>
            <w:tcW w:w="0" w:type="auto"/>
          </w:tcPr>
          <w:p w14:paraId="541E0F7D" w14:textId="77777777" w:rsidR="00212B9D" w:rsidRDefault="00656550">
            <w:pPr>
              <w:pStyle w:val="Compact"/>
            </w:pPr>
            <w:r>
              <w:t>TCP 80</w:t>
            </w:r>
          </w:p>
        </w:tc>
      </w:tr>
      <w:tr w:rsidR="00212B9D" w14:paraId="541E0F81" w14:textId="77777777">
        <w:tc>
          <w:tcPr>
            <w:tcW w:w="0" w:type="auto"/>
          </w:tcPr>
          <w:p w14:paraId="541E0F7F" w14:textId="77777777" w:rsidR="00212B9D" w:rsidRDefault="00656550">
            <w:pPr>
              <w:pStyle w:val="Compact"/>
            </w:pPr>
            <w:r>
              <w:t>h</w:t>
            </w:r>
            <w:r>
              <w:t>ttps</w:t>
            </w:r>
          </w:p>
        </w:tc>
        <w:tc>
          <w:tcPr>
            <w:tcW w:w="0" w:type="auto"/>
          </w:tcPr>
          <w:p w14:paraId="541E0F80" w14:textId="77777777" w:rsidR="00212B9D" w:rsidRDefault="00656550">
            <w:pPr>
              <w:pStyle w:val="Compact"/>
            </w:pPr>
            <w:r>
              <w:t>TCP 443</w:t>
            </w:r>
          </w:p>
        </w:tc>
      </w:tr>
    </w:tbl>
    <w:p w14:paraId="541E0F82" w14:textId="77777777" w:rsidR="00212B9D" w:rsidRDefault="00656550">
      <w:pPr>
        <w:pStyle w:val="Heading3"/>
      </w:pPr>
      <w:bookmarkStart w:id="19" w:name="on-request"/>
      <w:bookmarkEnd w:id="18"/>
      <w:r>
        <w:t>On-request</w:t>
      </w:r>
    </w:p>
    <w:p w14:paraId="541E0F83" w14:textId="77777777" w:rsidR="00212B9D" w:rsidRDefault="00656550">
      <w:pPr>
        <w:pStyle w:val="FirstParagraph"/>
      </w:pPr>
      <w:r>
        <w:t>The following services and protocols are allowed outbound with conscious approval and demonstrated business need: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62"/>
        <w:gridCol w:w="1801"/>
        <w:gridCol w:w="6169"/>
      </w:tblGrid>
      <w:tr w:rsidR="00212B9D" w14:paraId="541E0F8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E0F84" w14:textId="77777777" w:rsidR="00212B9D" w:rsidRDefault="00656550">
            <w:pPr>
              <w:pStyle w:val="Compact"/>
            </w:pPr>
            <w:r>
              <w:t>Service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E0F85" w14:textId="77777777" w:rsidR="00212B9D" w:rsidRDefault="00656550">
            <w:pPr>
              <w:pStyle w:val="Compact"/>
            </w:pPr>
            <w:r>
              <w:t>Protocol &amp; Port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E0F86" w14:textId="77777777" w:rsidR="00212B9D" w:rsidRDefault="00656550">
            <w:pPr>
              <w:pStyle w:val="Compact"/>
            </w:pPr>
            <w:r>
              <w:t>Caveats</w:t>
            </w:r>
          </w:p>
        </w:tc>
      </w:tr>
      <w:tr w:rsidR="00212B9D" w14:paraId="541E0F8B" w14:textId="77777777">
        <w:tc>
          <w:tcPr>
            <w:tcW w:w="0" w:type="auto"/>
          </w:tcPr>
          <w:p w14:paraId="541E0F88" w14:textId="77777777" w:rsidR="00212B9D" w:rsidRDefault="00656550">
            <w:pPr>
              <w:pStyle w:val="Compact"/>
            </w:pPr>
            <w:r>
              <w:t>DNS</w:t>
            </w:r>
          </w:p>
        </w:tc>
        <w:tc>
          <w:tcPr>
            <w:tcW w:w="0" w:type="auto"/>
          </w:tcPr>
          <w:p w14:paraId="541E0F89" w14:textId="77777777" w:rsidR="00212B9D" w:rsidRDefault="00656550">
            <w:pPr>
              <w:pStyle w:val="Compact"/>
            </w:pPr>
            <w:r>
              <w:t>TCP/UDP 53</w:t>
            </w:r>
          </w:p>
        </w:tc>
        <w:tc>
          <w:tcPr>
            <w:tcW w:w="0" w:type="auto"/>
          </w:tcPr>
          <w:p w14:paraId="541E0F8A" w14:textId="77777777" w:rsidR="00212B9D" w:rsidRDefault="00656550">
            <w:pPr>
              <w:pStyle w:val="Compact"/>
            </w:pPr>
            <w:r>
              <w:t>Internal DNS servers requiring external lookup</w:t>
            </w:r>
          </w:p>
        </w:tc>
      </w:tr>
      <w:tr w:rsidR="00212B9D" w14:paraId="541E0F8F" w14:textId="77777777">
        <w:tc>
          <w:tcPr>
            <w:tcW w:w="0" w:type="auto"/>
          </w:tcPr>
          <w:p w14:paraId="541E0F8C" w14:textId="77777777" w:rsidR="00212B9D" w:rsidRDefault="00656550">
            <w:pPr>
              <w:pStyle w:val="Compact"/>
            </w:pPr>
            <w:r>
              <w:t>SMTP</w:t>
            </w:r>
          </w:p>
        </w:tc>
        <w:tc>
          <w:tcPr>
            <w:tcW w:w="0" w:type="auto"/>
          </w:tcPr>
          <w:p w14:paraId="541E0F8D" w14:textId="77777777" w:rsidR="00212B9D" w:rsidRDefault="00656550">
            <w:pPr>
              <w:pStyle w:val="Compact"/>
            </w:pPr>
            <w:r>
              <w:t>TCP 587</w:t>
            </w:r>
          </w:p>
        </w:tc>
        <w:tc>
          <w:tcPr>
            <w:tcW w:w="0" w:type="auto"/>
          </w:tcPr>
          <w:p w14:paraId="541E0F8E" w14:textId="77777777" w:rsidR="00212B9D" w:rsidRDefault="00656550">
            <w:pPr>
              <w:pStyle w:val="Compact"/>
            </w:pPr>
            <w:r>
              <w:t>Internal operational mail servers requiring outbould relay</w:t>
            </w:r>
          </w:p>
        </w:tc>
      </w:tr>
      <w:tr w:rsidR="00212B9D" w14:paraId="541E0F93" w14:textId="77777777">
        <w:tc>
          <w:tcPr>
            <w:tcW w:w="0" w:type="auto"/>
          </w:tcPr>
          <w:p w14:paraId="541E0F90" w14:textId="77777777" w:rsidR="00212B9D" w:rsidRDefault="00656550">
            <w:pPr>
              <w:pStyle w:val="Compact"/>
            </w:pPr>
            <w:r>
              <w:t>IMAPS</w:t>
            </w:r>
          </w:p>
        </w:tc>
        <w:tc>
          <w:tcPr>
            <w:tcW w:w="0" w:type="auto"/>
          </w:tcPr>
          <w:p w14:paraId="541E0F91" w14:textId="77777777" w:rsidR="00212B9D" w:rsidRDefault="00656550">
            <w:pPr>
              <w:pStyle w:val="Compact"/>
            </w:pPr>
            <w:r>
              <w:t>TCP 993</w:t>
            </w:r>
          </w:p>
        </w:tc>
        <w:tc>
          <w:tcPr>
            <w:tcW w:w="0" w:type="auto"/>
          </w:tcPr>
          <w:p w14:paraId="541E0F92" w14:textId="77777777" w:rsidR="00212B9D" w:rsidRDefault="00656550">
            <w:pPr>
              <w:pStyle w:val="Compact"/>
            </w:pPr>
            <w:r>
              <w:t>Internal mail servers requiring inbound mail</w:t>
            </w:r>
          </w:p>
        </w:tc>
      </w:tr>
      <w:tr w:rsidR="00212B9D" w14:paraId="541E0F97" w14:textId="77777777">
        <w:tc>
          <w:tcPr>
            <w:tcW w:w="0" w:type="auto"/>
          </w:tcPr>
          <w:p w14:paraId="541E0F94" w14:textId="77777777" w:rsidR="00212B9D" w:rsidRDefault="00656550">
            <w:pPr>
              <w:pStyle w:val="Compact"/>
            </w:pPr>
            <w:r>
              <w:t>NTP</w:t>
            </w:r>
          </w:p>
        </w:tc>
        <w:tc>
          <w:tcPr>
            <w:tcW w:w="0" w:type="auto"/>
          </w:tcPr>
          <w:p w14:paraId="541E0F95" w14:textId="77777777" w:rsidR="00212B9D" w:rsidRDefault="00656550">
            <w:pPr>
              <w:pStyle w:val="Compact"/>
            </w:pPr>
            <w:r>
              <w:t>TCP 123</w:t>
            </w:r>
          </w:p>
        </w:tc>
        <w:tc>
          <w:tcPr>
            <w:tcW w:w="0" w:type="auto"/>
          </w:tcPr>
          <w:p w14:paraId="541E0F96" w14:textId="77777777" w:rsidR="00212B9D" w:rsidRDefault="00656550">
            <w:pPr>
              <w:pStyle w:val="Compact"/>
            </w:pPr>
            <w:r>
              <w:t>Approved NTP servers within the Stratum hierarchy</w:t>
            </w:r>
          </w:p>
        </w:tc>
      </w:tr>
      <w:tr w:rsidR="00212B9D" w14:paraId="541E0F9B" w14:textId="77777777">
        <w:tc>
          <w:tcPr>
            <w:tcW w:w="0" w:type="auto"/>
          </w:tcPr>
          <w:p w14:paraId="541E0F98" w14:textId="77777777" w:rsidR="00212B9D" w:rsidRDefault="00656550">
            <w:pPr>
              <w:pStyle w:val="Compact"/>
            </w:pPr>
            <w:r>
              <w:t>SSH</w:t>
            </w:r>
          </w:p>
        </w:tc>
        <w:tc>
          <w:tcPr>
            <w:tcW w:w="0" w:type="auto"/>
          </w:tcPr>
          <w:p w14:paraId="541E0F99" w14:textId="77777777" w:rsidR="00212B9D" w:rsidRDefault="00656550">
            <w:pPr>
              <w:pStyle w:val="Compact"/>
            </w:pPr>
            <w:r>
              <w:t>TCP 22</w:t>
            </w:r>
          </w:p>
        </w:tc>
        <w:tc>
          <w:tcPr>
            <w:tcW w:w="0" w:type="auto"/>
          </w:tcPr>
          <w:p w14:paraId="541E0F9A" w14:textId="77777777" w:rsidR="00212B9D" w:rsidRDefault="00656550">
            <w:pPr>
              <w:pStyle w:val="Compact"/>
            </w:pPr>
            <w:r>
              <w:t>Agreed endpoints and services</w:t>
            </w:r>
          </w:p>
        </w:tc>
      </w:tr>
      <w:tr w:rsidR="00212B9D" w14:paraId="541E0F9F" w14:textId="77777777">
        <w:tc>
          <w:tcPr>
            <w:tcW w:w="0" w:type="auto"/>
          </w:tcPr>
          <w:p w14:paraId="541E0F9C" w14:textId="77777777" w:rsidR="00212B9D" w:rsidRDefault="00656550">
            <w:pPr>
              <w:pStyle w:val="Compact"/>
            </w:pPr>
            <w:r>
              <w:t>MSSQL</w:t>
            </w:r>
          </w:p>
        </w:tc>
        <w:tc>
          <w:tcPr>
            <w:tcW w:w="0" w:type="auto"/>
          </w:tcPr>
          <w:p w14:paraId="541E0F9D" w14:textId="77777777" w:rsidR="00212B9D" w:rsidRDefault="00656550">
            <w:pPr>
              <w:pStyle w:val="Compact"/>
            </w:pPr>
            <w:r>
              <w:t>TCP 1433</w:t>
            </w:r>
          </w:p>
        </w:tc>
        <w:tc>
          <w:tcPr>
            <w:tcW w:w="0" w:type="auto"/>
          </w:tcPr>
          <w:p w14:paraId="541E0F9E" w14:textId="77777777" w:rsidR="00212B9D" w:rsidRDefault="00656550">
            <w:pPr>
              <w:pStyle w:val="Compact"/>
            </w:pPr>
            <w:r>
              <w:t>Agreed endpoints and services</w:t>
            </w:r>
          </w:p>
        </w:tc>
      </w:tr>
    </w:tbl>
    <w:p w14:paraId="541E0FA0" w14:textId="77777777" w:rsidR="00212B9D" w:rsidRDefault="00656550">
      <w:pPr>
        <w:pStyle w:val="Heading2"/>
      </w:pPr>
      <w:bookmarkStart w:id="20" w:name="inbound-access"/>
      <w:bookmarkEnd w:id="19"/>
      <w:bookmarkEnd w:id="17"/>
      <w:r>
        <w:t>Inbound access</w:t>
      </w:r>
    </w:p>
    <w:p w14:paraId="541E0FA1" w14:textId="77777777" w:rsidR="00212B9D" w:rsidRDefault="00656550">
      <w:pPr>
        <w:pStyle w:val="Heading3"/>
      </w:pPr>
      <w:bookmarkStart w:id="21" w:name="defaults-1"/>
      <w:r>
        <w:t>Defaults</w:t>
      </w:r>
    </w:p>
    <w:p w14:paraId="541E0FA2" w14:textId="77777777" w:rsidR="00212B9D" w:rsidRDefault="00656550">
      <w:pPr>
        <w:pStyle w:val="FirstParagraph"/>
      </w:pPr>
      <w:r>
        <w:t>The following services and protocols are allowed outbound by default for public-facing services within DMZs: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62"/>
        <w:gridCol w:w="1801"/>
      </w:tblGrid>
      <w:tr w:rsidR="00212B9D" w14:paraId="541E0FA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E0FA3" w14:textId="77777777" w:rsidR="00212B9D" w:rsidRDefault="00656550">
            <w:pPr>
              <w:pStyle w:val="Compact"/>
            </w:pPr>
            <w:r>
              <w:t>Service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E0FA4" w14:textId="77777777" w:rsidR="00212B9D" w:rsidRDefault="00656550">
            <w:pPr>
              <w:pStyle w:val="Compact"/>
            </w:pPr>
            <w:r>
              <w:t>Protocol &amp; Port</w:t>
            </w:r>
          </w:p>
        </w:tc>
      </w:tr>
      <w:tr w:rsidR="00212B9D" w14:paraId="541E0FA8" w14:textId="77777777">
        <w:tc>
          <w:tcPr>
            <w:tcW w:w="0" w:type="auto"/>
          </w:tcPr>
          <w:p w14:paraId="541E0FA6" w14:textId="77777777" w:rsidR="00212B9D" w:rsidRDefault="00656550">
            <w:pPr>
              <w:pStyle w:val="Compact"/>
            </w:pPr>
            <w:r>
              <w:lastRenderedPageBreak/>
              <w:t>http</w:t>
            </w:r>
          </w:p>
        </w:tc>
        <w:tc>
          <w:tcPr>
            <w:tcW w:w="0" w:type="auto"/>
          </w:tcPr>
          <w:p w14:paraId="541E0FA7" w14:textId="77777777" w:rsidR="00212B9D" w:rsidRDefault="00656550">
            <w:pPr>
              <w:pStyle w:val="Compact"/>
            </w:pPr>
            <w:r>
              <w:t>TCP 80</w:t>
            </w:r>
          </w:p>
        </w:tc>
      </w:tr>
      <w:tr w:rsidR="00212B9D" w14:paraId="541E0FAB" w14:textId="77777777">
        <w:tc>
          <w:tcPr>
            <w:tcW w:w="0" w:type="auto"/>
          </w:tcPr>
          <w:p w14:paraId="541E0FA9" w14:textId="77777777" w:rsidR="00212B9D" w:rsidRDefault="00656550">
            <w:pPr>
              <w:pStyle w:val="Compact"/>
            </w:pPr>
            <w:r>
              <w:t>https</w:t>
            </w:r>
          </w:p>
        </w:tc>
        <w:tc>
          <w:tcPr>
            <w:tcW w:w="0" w:type="auto"/>
          </w:tcPr>
          <w:p w14:paraId="541E0FAA" w14:textId="77777777" w:rsidR="00212B9D" w:rsidRDefault="00656550">
            <w:pPr>
              <w:pStyle w:val="Compact"/>
            </w:pPr>
            <w:r>
              <w:t>TCP 443</w:t>
            </w:r>
          </w:p>
        </w:tc>
      </w:tr>
    </w:tbl>
    <w:p w14:paraId="541E0FAC" w14:textId="77777777" w:rsidR="00212B9D" w:rsidRDefault="00656550">
      <w:pPr>
        <w:pStyle w:val="Heading3"/>
      </w:pPr>
      <w:bookmarkStart w:id="22" w:name="on-request-1"/>
      <w:bookmarkEnd w:id="21"/>
      <w:r>
        <w:t>On-request</w:t>
      </w:r>
    </w:p>
    <w:p w14:paraId="541E0FAD" w14:textId="77777777" w:rsidR="00212B9D" w:rsidRDefault="00656550">
      <w:pPr>
        <w:pStyle w:val="FirstParagraph"/>
      </w:pPr>
      <w:r>
        <w:t>The following services and protocols are allowed outbound with conscious approval and demonstrated business need: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62"/>
        <w:gridCol w:w="1628"/>
        <w:gridCol w:w="6986"/>
      </w:tblGrid>
      <w:tr w:rsidR="00212B9D" w14:paraId="541E0FB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E0FAE" w14:textId="77777777" w:rsidR="00212B9D" w:rsidRDefault="00656550">
            <w:pPr>
              <w:pStyle w:val="Compact"/>
            </w:pPr>
            <w:r>
              <w:t>Service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E0FAF" w14:textId="77777777" w:rsidR="00212B9D" w:rsidRDefault="00656550">
            <w:pPr>
              <w:pStyle w:val="Compact"/>
            </w:pPr>
            <w:r>
              <w:t>Protocol &amp; Port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E0FB0" w14:textId="77777777" w:rsidR="00212B9D" w:rsidRDefault="00656550">
            <w:pPr>
              <w:pStyle w:val="Compact"/>
            </w:pPr>
            <w:r>
              <w:t>Caveats</w:t>
            </w:r>
          </w:p>
        </w:tc>
      </w:tr>
      <w:tr w:rsidR="00212B9D" w14:paraId="541E0FB5" w14:textId="77777777">
        <w:tc>
          <w:tcPr>
            <w:tcW w:w="0" w:type="auto"/>
          </w:tcPr>
          <w:p w14:paraId="541E0FB2" w14:textId="77777777" w:rsidR="00212B9D" w:rsidRDefault="00656550">
            <w:pPr>
              <w:pStyle w:val="Compact"/>
            </w:pPr>
            <w:r>
              <w:t>VPN</w:t>
            </w:r>
          </w:p>
        </w:tc>
        <w:tc>
          <w:tcPr>
            <w:tcW w:w="0" w:type="auto"/>
          </w:tcPr>
          <w:p w14:paraId="541E0FB3" w14:textId="77777777" w:rsidR="00212B9D" w:rsidRDefault="00656550">
            <w:pPr>
              <w:pStyle w:val="Compact"/>
            </w:pPr>
            <w:r>
              <w:t>UDP 1194</w:t>
            </w:r>
          </w:p>
        </w:tc>
        <w:tc>
          <w:tcPr>
            <w:tcW w:w="0" w:type="auto"/>
          </w:tcPr>
          <w:p w14:paraId="541E0FB4" w14:textId="77777777" w:rsidR="00212B9D" w:rsidRDefault="00656550">
            <w:pPr>
              <w:pStyle w:val="Compact"/>
            </w:pPr>
            <w:r>
              <w:t>Permitted for the Department’s main remote access solution</w:t>
            </w:r>
          </w:p>
        </w:tc>
      </w:tr>
      <w:tr w:rsidR="00212B9D" w14:paraId="541E0FB9" w14:textId="77777777">
        <w:tc>
          <w:tcPr>
            <w:tcW w:w="0" w:type="auto"/>
          </w:tcPr>
          <w:p w14:paraId="541E0FB6" w14:textId="77777777" w:rsidR="00212B9D" w:rsidRDefault="00656550">
            <w:pPr>
              <w:pStyle w:val="Compact"/>
            </w:pPr>
            <w:r>
              <w:t>SMTP</w:t>
            </w:r>
          </w:p>
        </w:tc>
        <w:tc>
          <w:tcPr>
            <w:tcW w:w="0" w:type="auto"/>
          </w:tcPr>
          <w:p w14:paraId="541E0FB7" w14:textId="77777777" w:rsidR="00212B9D" w:rsidRDefault="00656550">
            <w:pPr>
              <w:pStyle w:val="Compact"/>
            </w:pPr>
            <w:r>
              <w:t>TCP 587</w:t>
            </w:r>
          </w:p>
        </w:tc>
        <w:tc>
          <w:tcPr>
            <w:tcW w:w="0" w:type="auto"/>
          </w:tcPr>
          <w:p w14:paraId="541E0FB8" w14:textId="77777777" w:rsidR="00212B9D" w:rsidRDefault="00656550">
            <w:pPr>
              <w:pStyle w:val="Compact"/>
            </w:pPr>
            <w:r>
              <w:t>This may not be required</w:t>
            </w:r>
          </w:p>
        </w:tc>
      </w:tr>
      <w:tr w:rsidR="00212B9D" w14:paraId="541E0FBD" w14:textId="77777777">
        <w:tc>
          <w:tcPr>
            <w:tcW w:w="0" w:type="auto"/>
          </w:tcPr>
          <w:p w14:paraId="541E0FBA" w14:textId="77777777" w:rsidR="00212B9D" w:rsidRDefault="00656550">
            <w:pPr>
              <w:pStyle w:val="Compact"/>
            </w:pPr>
            <w:r>
              <w:t>SFTP</w:t>
            </w:r>
          </w:p>
        </w:tc>
        <w:tc>
          <w:tcPr>
            <w:tcW w:w="0" w:type="auto"/>
          </w:tcPr>
          <w:p w14:paraId="541E0FBB" w14:textId="77777777" w:rsidR="00212B9D" w:rsidRDefault="00656550">
            <w:pPr>
              <w:pStyle w:val="Compact"/>
            </w:pPr>
            <w:r>
              <w:t>TCP 22</w:t>
            </w:r>
          </w:p>
        </w:tc>
        <w:tc>
          <w:tcPr>
            <w:tcW w:w="0" w:type="auto"/>
          </w:tcPr>
          <w:p w14:paraId="541E0FBC" w14:textId="77777777" w:rsidR="00212B9D" w:rsidRDefault="00656550">
            <w:pPr>
              <w:pStyle w:val="Compact"/>
            </w:pPr>
            <w:r>
              <w:t>(for specific encpoints which need to securely and programatically exchange data)</w:t>
            </w:r>
          </w:p>
        </w:tc>
      </w:tr>
      <w:tr w:rsidR="00212B9D" w14:paraId="541E0FC1" w14:textId="77777777">
        <w:tc>
          <w:tcPr>
            <w:tcW w:w="0" w:type="auto"/>
          </w:tcPr>
          <w:p w14:paraId="541E0FBE" w14:textId="77777777" w:rsidR="00212B9D" w:rsidRDefault="00656550">
            <w:pPr>
              <w:pStyle w:val="Compact"/>
            </w:pPr>
            <w:r>
              <w:t>FTPS</w:t>
            </w:r>
          </w:p>
        </w:tc>
        <w:tc>
          <w:tcPr>
            <w:tcW w:w="0" w:type="auto"/>
          </w:tcPr>
          <w:p w14:paraId="541E0FBF" w14:textId="77777777" w:rsidR="00212B9D" w:rsidRDefault="00656550">
            <w:pPr>
              <w:pStyle w:val="Compact"/>
            </w:pPr>
            <w:r>
              <w:t>TCP 900</w:t>
            </w:r>
          </w:p>
        </w:tc>
        <w:tc>
          <w:tcPr>
            <w:tcW w:w="0" w:type="auto"/>
          </w:tcPr>
          <w:p w14:paraId="541E0FC0" w14:textId="77777777" w:rsidR="00212B9D" w:rsidRDefault="00656550">
            <w:pPr>
              <w:pStyle w:val="Compact"/>
            </w:pPr>
            <w:r>
              <w:t>as above</w:t>
            </w:r>
          </w:p>
        </w:tc>
      </w:tr>
      <w:tr w:rsidR="00212B9D" w14:paraId="541E0FC5" w14:textId="77777777">
        <w:tc>
          <w:tcPr>
            <w:tcW w:w="0" w:type="auto"/>
          </w:tcPr>
          <w:p w14:paraId="541E0FC2" w14:textId="77777777" w:rsidR="00212B9D" w:rsidRDefault="00656550">
            <w:pPr>
              <w:pStyle w:val="Compact"/>
            </w:pPr>
            <w:r>
              <w:t>DNS?</w:t>
            </w:r>
          </w:p>
        </w:tc>
        <w:tc>
          <w:tcPr>
            <w:tcW w:w="0" w:type="auto"/>
          </w:tcPr>
          <w:p w14:paraId="541E0FC3" w14:textId="77777777" w:rsidR="00212B9D" w:rsidRDefault="00656550">
            <w:pPr>
              <w:pStyle w:val="Compact"/>
            </w:pPr>
            <w:r>
              <w:t>TCP 53</w:t>
            </w:r>
          </w:p>
        </w:tc>
        <w:tc>
          <w:tcPr>
            <w:tcW w:w="0" w:type="auto"/>
          </w:tcPr>
          <w:p w14:paraId="541E0FC4" w14:textId="77777777" w:rsidR="00212B9D" w:rsidRDefault="00656550">
            <w:pPr>
              <w:pStyle w:val="Compact"/>
            </w:pPr>
            <w:r>
              <w:t>(depending on how our DNS is currently structured, if we host zones etc)</w:t>
            </w:r>
          </w:p>
        </w:tc>
      </w:tr>
    </w:tbl>
    <w:p w14:paraId="541E0FC6" w14:textId="77777777" w:rsidR="00212B9D" w:rsidRDefault="00656550">
      <w:pPr>
        <w:pStyle w:val="Heading3"/>
      </w:pPr>
      <w:bookmarkStart w:id="23" w:name="not-permitted"/>
      <w:bookmarkEnd w:id="22"/>
      <w:r>
        <w:t>Not Permitted</w:t>
      </w:r>
    </w:p>
    <w:p w14:paraId="541E0FC7" w14:textId="77777777" w:rsidR="00212B9D" w:rsidRDefault="00656550">
      <w:pPr>
        <w:pStyle w:val="FirstParagraph"/>
      </w:pPr>
      <w:r>
        <w:t>Any protocols and services which are not listed in</w:t>
      </w:r>
      <w:r>
        <w:t xml:space="preserve"> the Inbound and Outbound Access sections are not permitted. Services will be updated and iterated for other approved services following approved demand from delivery and operations areas.</w:t>
      </w:r>
    </w:p>
    <w:p w14:paraId="541E0FC8" w14:textId="77777777" w:rsidR="00212B9D" w:rsidRDefault="00656550">
      <w:pPr>
        <w:pStyle w:val="BodyText"/>
      </w:pPr>
      <w:r>
        <w:t xml:space="preserve">Common </w:t>
      </w:r>
      <w:r>
        <w:rPr>
          <w:i/>
          <w:iCs/>
        </w:rPr>
        <w:t>not permitted</w:t>
      </w:r>
      <w:r>
        <w:t xml:space="preserve"> services are outlined below, with rationale an</w:t>
      </w:r>
      <w:r>
        <w:t>d guidance for services which provide a suitable alternative.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90"/>
        <w:gridCol w:w="4484"/>
        <w:gridCol w:w="1902"/>
      </w:tblGrid>
      <w:tr w:rsidR="00212B9D" w14:paraId="541E0FC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E0FC9" w14:textId="77777777" w:rsidR="00212B9D" w:rsidRDefault="00656550">
            <w:pPr>
              <w:pStyle w:val="Compact"/>
            </w:pPr>
            <w:r>
              <w:t>Not-permitted service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E0FCA" w14:textId="77777777" w:rsidR="00212B9D" w:rsidRDefault="00656550">
            <w:pPr>
              <w:pStyle w:val="Compact"/>
            </w:pPr>
            <w:r>
              <w:t>Rationale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E0FCB" w14:textId="77777777" w:rsidR="00212B9D" w:rsidRDefault="00656550">
            <w:pPr>
              <w:pStyle w:val="Compact"/>
            </w:pPr>
            <w:r>
              <w:t>Equivalent service</w:t>
            </w:r>
          </w:p>
        </w:tc>
      </w:tr>
      <w:tr w:rsidR="00212B9D" w14:paraId="541E0FD0" w14:textId="77777777">
        <w:tc>
          <w:tcPr>
            <w:tcW w:w="0" w:type="auto"/>
          </w:tcPr>
          <w:p w14:paraId="541E0FCD" w14:textId="77777777" w:rsidR="00212B9D" w:rsidRDefault="00656550">
            <w:pPr>
              <w:pStyle w:val="Compact"/>
            </w:pPr>
            <w:r>
              <w:t>FTP</w:t>
            </w:r>
          </w:p>
        </w:tc>
        <w:tc>
          <w:tcPr>
            <w:tcW w:w="0" w:type="auto"/>
          </w:tcPr>
          <w:p w14:paraId="541E0FCE" w14:textId="77777777" w:rsidR="00212B9D" w:rsidRDefault="00656550">
            <w:pPr>
              <w:pStyle w:val="Compact"/>
            </w:pPr>
            <w:r>
              <w:t>Unsecure service</w:t>
            </w:r>
          </w:p>
        </w:tc>
        <w:tc>
          <w:tcPr>
            <w:tcW w:w="0" w:type="auto"/>
          </w:tcPr>
          <w:p w14:paraId="541E0FCF" w14:textId="77777777" w:rsidR="00212B9D" w:rsidRDefault="00656550">
            <w:pPr>
              <w:pStyle w:val="Compact"/>
            </w:pPr>
            <w:r>
              <w:t>SSH</w:t>
            </w:r>
          </w:p>
        </w:tc>
      </w:tr>
      <w:tr w:rsidR="00212B9D" w14:paraId="541E0FD4" w14:textId="77777777">
        <w:tc>
          <w:tcPr>
            <w:tcW w:w="0" w:type="auto"/>
          </w:tcPr>
          <w:p w14:paraId="541E0FD1" w14:textId="77777777" w:rsidR="00212B9D" w:rsidRDefault="00656550">
            <w:pPr>
              <w:pStyle w:val="Compact"/>
            </w:pPr>
            <w:r>
              <w:t>Telnet</w:t>
            </w:r>
          </w:p>
        </w:tc>
        <w:tc>
          <w:tcPr>
            <w:tcW w:w="0" w:type="auto"/>
          </w:tcPr>
          <w:p w14:paraId="541E0FD2" w14:textId="77777777" w:rsidR="00212B9D" w:rsidRDefault="00656550">
            <w:pPr>
              <w:pStyle w:val="Compact"/>
            </w:pPr>
            <w:r>
              <w:t>Unesecure, legacy service</w:t>
            </w:r>
          </w:p>
        </w:tc>
        <w:tc>
          <w:tcPr>
            <w:tcW w:w="0" w:type="auto"/>
          </w:tcPr>
          <w:p w14:paraId="541E0FD3" w14:textId="77777777" w:rsidR="00212B9D" w:rsidRDefault="00656550">
            <w:pPr>
              <w:pStyle w:val="Compact"/>
            </w:pPr>
            <w:r>
              <w:t>SSH</w:t>
            </w:r>
          </w:p>
        </w:tc>
      </w:tr>
      <w:tr w:rsidR="00212B9D" w14:paraId="541E0FD8" w14:textId="77777777">
        <w:tc>
          <w:tcPr>
            <w:tcW w:w="0" w:type="auto"/>
          </w:tcPr>
          <w:p w14:paraId="541E0FD5" w14:textId="77777777" w:rsidR="00212B9D" w:rsidRDefault="00656550">
            <w:pPr>
              <w:pStyle w:val="Compact"/>
            </w:pPr>
            <w:r>
              <w:t>Telnets</w:t>
            </w:r>
          </w:p>
        </w:tc>
        <w:tc>
          <w:tcPr>
            <w:tcW w:w="0" w:type="auto"/>
          </w:tcPr>
          <w:p w14:paraId="541E0FD6" w14:textId="77777777" w:rsidR="00212B9D" w:rsidRDefault="00656550">
            <w:pPr>
              <w:pStyle w:val="Compact"/>
            </w:pPr>
            <w:r>
              <w:t>Legacy service</w:t>
            </w:r>
          </w:p>
        </w:tc>
        <w:tc>
          <w:tcPr>
            <w:tcW w:w="0" w:type="auto"/>
          </w:tcPr>
          <w:p w14:paraId="541E0FD7" w14:textId="77777777" w:rsidR="00212B9D" w:rsidRDefault="00656550">
            <w:pPr>
              <w:pStyle w:val="Compact"/>
            </w:pPr>
            <w:r>
              <w:t>SSH</w:t>
            </w:r>
          </w:p>
        </w:tc>
      </w:tr>
      <w:tr w:rsidR="00212B9D" w14:paraId="541E0FDC" w14:textId="77777777">
        <w:tc>
          <w:tcPr>
            <w:tcW w:w="0" w:type="auto"/>
          </w:tcPr>
          <w:p w14:paraId="541E0FD9" w14:textId="77777777" w:rsidR="00212B9D" w:rsidRDefault="00656550">
            <w:pPr>
              <w:pStyle w:val="Compact"/>
            </w:pPr>
            <w:r>
              <w:t>RDP</w:t>
            </w:r>
          </w:p>
        </w:tc>
        <w:tc>
          <w:tcPr>
            <w:tcW w:w="0" w:type="auto"/>
          </w:tcPr>
          <w:p w14:paraId="541E0FDA" w14:textId="77777777" w:rsidR="00212B9D" w:rsidRDefault="00656550">
            <w:pPr>
              <w:pStyle w:val="Compact"/>
            </w:pPr>
            <w:r>
              <w:t>RDP sevices are a regularly exploited and a security risk</w:t>
            </w:r>
          </w:p>
        </w:tc>
        <w:tc>
          <w:tcPr>
            <w:tcW w:w="0" w:type="auto"/>
          </w:tcPr>
          <w:p w14:paraId="541E0FDB" w14:textId="77777777" w:rsidR="00212B9D" w:rsidRDefault="00656550">
            <w:pPr>
              <w:pStyle w:val="Compact"/>
            </w:pPr>
            <w:r>
              <w:t>(jump box strategy)</w:t>
            </w:r>
          </w:p>
        </w:tc>
      </w:tr>
      <w:tr w:rsidR="00212B9D" w14:paraId="541E0FE0" w14:textId="77777777">
        <w:tc>
          <w:tcPr>
            <w:tcW w:w="0" w:type="auto"/>
          </w:tcPr>
          <w:p w14:paraId="541E0FDD" w14:textId="77777777" w:rsidR="00212B9D" w:rsidRDefault="00656550">
            <w:pPr>
              <w:pStyle w:val="Compact"/>
            </w:pPr>
            <w:r>
              <w:t>File services protocols SMB, NFS etc</w:t>
            </w:r>
          </w:p>
        </w:tc>
        <w:tc>
          <w:tcPr>
            <w:tcW w:w="0" w:type="auto"/>
          </w:tcPr>
          <w:p w14:paraId="541E0FDE" w14:textId="77777777" w:rsidR="00212B9D" w:rsidRDefault="00656550">
            <w:pPr>
              <w:pStyle w:val="Compact"/>
            </w:pPr>
            <w:r>
              <w:t>Unsecure, regularly exploited service</w:t>
            </w:r>
          </w:p>
        </w:tc>
        <w:tc>
          <w:tcPr>
            <w:tcW w:w="0" w:type="auto"/>
          </w:tcPr>
          <w:p w14:paraId="541E0FDF" w14:textId="77777777" w:rsidR="00212B9D" w:rsidRDefault="00656550">
            <w:pPr>
              <w:pStyle w:val="Compact"/>
            </w:pPr>
            <w:r>
              <w:t>SFTP</w:t>
            </w:r>
          </w:p>
        </w:tc>
      </w:tr>
      <w:tr w:rsidR="00212B9D" w14:paraId="541E0FE4" w14:textId="77777777">
        <w:tc>
          <w:tcPr>
            <w:tcW w:w="0" w:type="auto"/>
          </w:tcPr>
          <w:p w14:paraId="541E0FE1" w14:textId="77777777" w:rsidR="00212B9D" w:rsidRDefault="00656550">
            <w:pPr>
              <w:pStyle w:val="Compact"/>
            </w:pPr>
            <w:r>
              <w:t>Legacy auth traffic (Kerberos, NTLM)</w:t>
            </w:r>
          </w:p>
        </w:tc>
        <w:tc>
          <w:tcPr>
            <w:tcW w:w="0" w:type="auto"/>
          </w:tcPr>
          <w:p w14:paraId="541E0FE2" w14:textId="77777777" w:rsidR="00212B9D" w:rsidRDefault="00656550">
            <w:pPr>
              <w:pStyle w:val="Compact"/>
            </w:pPr>
            <w:r>
              <w:t>Not designed for WAN/Internet use</w:t>
            </w:r>
          </w:p>
        </w:tc>
        <w:tc>
          <w:tcPr>
            <w:tcW w:w="0" w:type="auto"/>
          </w:tcPr>
          <w:p w14:paraId="541E0FE3" w14:textId="77777777" w:rsidR="00212B9D" w:rsidRDefault="00656550">
            <w:pPr>
              <w:pStyle w:val="Compact"/>
            </w:pPr>
            <w:r>
              <w:t>OIDC, SAML 2.0</w:t>
            </w:r>
          </w:p>
        </w:tc>
      </w:tr>
      <w:tr w:rsidR="00212B9D" w14:paraId="541E0FE8" w14:textId="77777777">
        <w:tc>
          <w:tcPr>
            <w:tcW w:w="0" w:type="auto"/>
          </w:tcPr>
          <w:p w14:paraId="541E0FE5" w14:textId="77777777" w:rsidR="00212B9D" w:rsidRDefault="00656550">
            <w:pPr>
              <w:pStyle w:val="Compact"/>
            </w:pPr>
            <w:r>
              <w:t>LDAP/LDAPS</w:t>
            </w:r>
          </w:p>
        </w:tc>
        <w:tc>
          <w:tcPr>
            <w:tcW w:w="0" w:type="auto"/>
          </w:tcPr>
          <w:p w14:paraId="541E0FE6" w14:textId="77777777" w:rsidR="00212B9D" w:rsidRDefault="00656550">
            <w:pPr>
              <w:pStyle w:val="Compact"/>
            </w:pPr>
            <w:r>
              <w:t>Potential for exposure if poorly implementated</w:t>
            </w:r>
          </w:p>
        </w:tc>
        <w:tc>
          <w:tcPr>
            <w:tcW w:w="0" w:type="auto"/>
          </w:tcPr>
          <w:p w14:paraId="541E0FE7" w14:textId="77777777" w:rsidR="00212B9D" w:rsidRDefault="00656550">
            <w:pPr>
              <w:pStyle w:val="Compact"/>
            </w:pPr>
            <w:r>
              <w:t>No business need</w:t>
            </w:r>
          </w:p>
        </w:tc>
      </w:tr>
      <w:tr w:rsidR="00212B9D" w14:paraId="541E0FEC" w14:textId="77777777">
        <w:tc>
          <w:tcPr>
            <w:tcW w:w="0" w:type="auto"/>
          </w:tcPr>
          <w:p w14:paraId="541E0FE9" w14:textId="77777777" w:rsidR="00212B9D" w:rsidRDefault="00656550">
            <w:pPr>
              <w:pStyle w:val="Compact"/>
            </w:pPr>
            <w:r>
              <w:t>Remote access and tunelling protocols</w:t>
            </w:r>
          </w:p>
        </w:tc>
        <w:tc>
          <w:tcPr>
            <w:tcW w:w="0" w:type="auto"/>
          </w:tcPr>
          <w:p w14:paraId="541E0FEA" w14:textId="77777777" w:rsidR="00212B9D" w:rsidRDefault="00656550">
            <w:pPr>
              <w:pStyle w:val="Compact"/>
            </w:pPr>
            <w:r>
              <w:t>Could be used to circumvent standard protective controls</w:t>
            </w:r>
          </w:p>
        </w:tc>
        <w:tc>
          <w:tcPr>
            <w:tcW w:w="0" w:type="auto"/>
          </w:tcPr>
          <w:p w14:paraId="541E0FEB" w14:textId="77777777" w:rsidR="00212B9D" w:rsidRDefault="00656550">
            <w:pPr>
              <w:pStyle w:val="Compact"/>
            </w:pPr>
            <w:r>
              <w:t>No Business Need</w:t>
            </w:r>
          </w:p>
        </w:tc>
      </w:tr>
      <w:tr w:rsidR="00212B9D" w14:paraId="541E0FF0" w14:textId="77777777">
        <w:tc>
          <w:tcPr>
            <w:tcW w:w="0" w:type="auto"/>
          </w:tcPr>
          <w:p w14:paraId="541E0FED" w14:textId="77777777" w:rsidR="00212B9D" w:rsidRDefault="00656550">
            <w:pPr>
              <w:pStyle w:val="Compact"/>
            </w:pPr>
            <w:r>
              <w:t xml:space="preserve">Legacy name lookup </w:t>
            </w:r>
            <w:r>
              <w:lastRenderedPageBreak/>
              <w:t>services (WINS)</w:t>
            </w:r>
          </w:p>
        </w:tc>
        <w:tc>
          <w:tcPr>
            <w:tcW w:w="0" w:type="auto"/>
          </w:tcPr>
          <w:p w14:paraId="541E0FEE" w14:textId="77777777" w:rsidR="00212B9D" w:rsidRDefault="00656550">
            <w:pPr>
              <w:pStyle w:val="Compact"/>
            </w:pPr>
            <w:r>
              <w:lastRenderedPageBreak/>
              <w:t>Not designed for WAN/Internet use</w:t>
            </w:r>
          </w:p>
        </w:tc>
        <w:tc>
          <w:tcPr>
            <w:tcW w:w="0" w:type="auto"/>
          </w:tcPr>
          <w:p w14:paraId="541E0FEF" w14:textId="77777777" w:rsidR="00212B9D" w:rsidRDefault="00656550">
            <w:pPr>
              <w:pStyle w:val="Compact"/>
            </w:pPr>
            <w:r>
              <w:t>DNS</w:t>
            </w:r>
          </w:p>
        </w:tc>
      </w:tr>
      <w:tr w:rsidR="00212B9D" w14:paraId="541E0FF4" w14:textId="77777777">
        <w:tc>
          <w:tcPr>
            <w:tcW w:w="0" w:type="auto"/>
          </w:tcPr>
          <w:p w14:paraId="541E0FF1" w14:textId="77777777" w:rsidR="00212B9D" w:rsidRDefault="00656550">
            <w:pPr>
              <w:pStyle w:val="Compact"/>
            </w:pPr>
            <w:r>
              <w:t>IP6to4 protocols?</w:t>
            </w:r>
          </w:p>
        </w:tc>
        <w:tc>
          <w:tcPr>
            <w:tcW w:w="0" w:type="auto"/>
          </w:tcPr>
          <w:p w14:paraId="541E0FF2" w14:textId="77777777" w:rsidR="00212B9D" w:rsidRDefault="00656550">
            <w:pPr>
              <w:pStyle w:val="Compact"/>
            </w:pPr>
            <w:r>
              <w:t>Could be used to circumvent standard protective controls</w:t>
            </w:r>
          </w:p>
        </w:tc>
        <w:tc>
          <w:tcPr>
            <w:tcW w:w="0" w:type="auto"/>
          </w:tcPr>
          <w:p w14:paraId="541E0FF3" w14:textId="77777777" w:rsidR="00212B9D" w:rsidRDefault="00656550">
            <w:pPr>
              <w:pStyle w:val="Compact"/>
            </w:pPr>
            <w:r>
              <w:t>No Business Need</w:t>
            </w:r>
          </w:p>
        </w:tc>
      </w:tr>
      <w:bookmarkEnd w:id="23"/>
      <w:bookmarkEnd w:id="20"/>
      <w:bookmarkEnd w:id="0"/>
    </w:tbl>
    <w:p w14:paraId="541E0FF5" w14:textId="77777777" w:rsidR="00000000" w:rsidRDefault="00656550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E0FF9" w14:textId="77777777" w:rsidR="00000000" w:rsidRDefault="00656550">
      <w:pPr>
        <w:spacing w:after="0"/>
      </w:pPr>
      <w:r>
        <w:separator/>
      </w:r>
    </w:p>
  </w:endnote>
  <w:endnote w:type="continuationSeparator" w:id="0">
    <w:p w14:paraId="541E0FFB" w14:textId="77777777" w:rsidR="00000000" w:rsidRDefault="006565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0FF5" w14:textId="77777777" w:rsidR="00212B9D" w:rsidRDefault="00656550">
      <w:r>
        <w:separator/>
      </w:r>
    </w:p>
  </w:footnote>
  <w:footnote w:type="continuationSeparator" w:id="0">
    <w:p w14:paraId="541E0FF6" w14:textId="77777777" w:rsidR="00212B9D" w:rsidRDefault="00656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86EA34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1AE401"/>
    <w:multiLevelType w:val="multilevel"/>
    <w:tmpl w:val="40766E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0A0404"/>
    <w:multiLevelType w:val="hybridMultilevel"/>
    <w:tmpl w:val="945E7942"/>
    <w:lvl w:ilvl="0" w:tplc="0D96AFD2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721F5712"/>
    <w:multiLevelType w:val="multilevel"/>
    <w:tmpl w:val="37C024F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5"/>
  </w:num>
  <w:num w:numId="13">
    <w:abstractNumId w:val="1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2B9D"/>
    <w:rsid w:val="004E29B3"/>
    <w:rsid w:val="00590D07"/>
    <w:rsid w:val="0065655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0F40"/>
  <w15:docId w15:val="{EC534822-076B-41D9-B7EA-CC66FF4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DfESOutNumbered">
    <w:name w:val="DfESOutNumbered"/>
    <w:basedOn w:val="Normal"/>
    <w:link w:val="DfESOutNumberedChar"/>
    <w:rsid w:val="00656550"/>
    <w:pPr>
      <w:widowControl w:val="0"/>
      <w:numPr>
        <w:numId w:val="13"/>
      </w:numPr>
      <w:overflowPunct w:val="0"/>
      <w:autoSpaceDE w:val="0"/>
      <w:autoSpaceDN w:val="0"/>
      <w:adjustRightInd w:val="0"/>
      <w:spacing w:after="240"/>
      <w:textAlignment w:val="baseline"/>
    </w:pPr>
    <w:rPr>
      <w:rFonts w:ascii="Arial" w:eastAsia="Times New Roman" w:hAnsi="Arial" w:cs="Arial"/>
      <w:sz w:val="22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5655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DfESOutNumberedChar">
    <w:name w:val="DfESOutNumbered Char"/>
    <w:basedOn w:val="Heading1Char"/>
    <w:link w:val="DfESOutNumbered"/>
    <w:rsid w:val="00656550"/>
    <w:rPr>
      <w:rFonts w:ascii="Arial" w:eastAsia="Times New Roman" w:hAnsi="Arial" w:cs="Arial"/>
      <w:b w:val="0"/>
      <w:bCs w:val="0"/>
      <w:color w:val="4F81BD" w:themeColor="accent1"/>
      <w:sz w:val="22"/>
      <w:szCs w:val="20"/>
      <w:lang w:val="en-GB"/>
    </w:rPr>
  </w:style>
  <w:style w:type="paragraph" w:customStyle="1" w:styleId="DeptBullets">
    <w:name w:val="DeptBullets"/>
    <w:basedOn w:val="Normal"/>
    <w:link w:val="DeptBulletsChar"/>
    <w:rsid w:val="00656550"/>
    <w:pPr>
      <w:widowControl w:val="0"/>
      <w:numPr>
        <w:numId w:val="15"/>
      </w:numPr>
      <w:overflowPunct w:val="0"/>
      <w:autoSpaceDE w:val="0"/>
      <w:autoSpaceDN w:val="0"/>
      <w:adjustRightInd w:val="0"/>
      <w:spacing w:after="240"/>
      <w:textAlignment w:val="baseline"/>
    </w:pPr>
    <w:rPr>
      <w:rFonts w:ascii="Arial" w:eastAsia="Times New Roman" w:hAnsi="Arial" w:cs="Times New Roman"/>
      <w:szCs w:val="20"/>
      <w:lang w:val="en-GB"/>
    </w:rPr>
  </w:style>
  <w:style w:type="character" w:customStyle="1" w:styleId="DeptBulletsChar">
    <w:name w:val="DeptBullets Char"/>
    <w:basedOn w:val="Heading1Char"/>
    <w:link w:val="DeptBullets"/>
    <w:rsid w:val="00656550"/>
    <w:rPr>
      <w:rFonts w:ascii="Arial" w:eastAsia="Times New Roman" w:hAnsi="Arial" w:cs="Times New Roman"/>
      <w:b w:val="0"/>
      <w:bCs w:val="0"/>
      <w:color w:val="4F81BD" w:themeColor="accent1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DINGWALL, Pete</cp:lastModifiedBy>
  <cp:revision>2</cp:revision>
  <dcterms:created xsi:type="dcterms:W3CDTF">2022-03-29T13:45:00Z</dcterms:created>
  <dcterms:modified xsi:type="dcterms:W3CDTF">2022-03-29T13:46:00Z</dcterms:modified>
</cp:coreProperties>
</file>