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[AcademyTypeAndRoute]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[HeadTeacherBoardDate]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[ProposedAcademyOpeningDate]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[PreviousHeadTeacherBoardDate]</w:t>
            </w:r>
          </w:p>
        </w:tc>
      </w:tr>
    </w:tbl>
    <w:p>
      <w:pPr>
        <w:pStyle w:val="Heading2"/>
        <w:spacing w:lineRule="auto" w:line="240" w:before="12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[SponsorName]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[SponsorReferenceNumber]</w:t>
            </w:r>
          </w:p>
        </w:tc>
      </w:tr>
    </w:tbl>
    <w:p>
      <w:pPr>
        <w:pStyle w:val="LOnormal"/>
        <w:spacing w:lineRule="auto" w:line="240" w:before="0" w:after="120"/>
        <w:rPr/>
      </w:pPr>
      <w:r>
        <w:rPr/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[ViabilityIssues]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[FinancialDeficit]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[PartOfPfiScheme]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7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  <w:t xml:space="preserve"> </w:t>
      </w:r>
    </w:p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9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56"/>
        <w:gridCol w:w="6486"/>
      </w:tblGrid>
      <w:tr>
        <w:trPr/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Risks and issues</w:t>
      </w:r>
    </w:p>
    <w:tbl>
      <w:tblPr>
        <w:tblStyle w:val="Table1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sz w:val="24"/>
                <w:szCs w:val="24"/>
              </w:rPr>
              <w:t>[RisksAndIssues]</w:t>
            </w:r>
          </w:p>
          <w:p>
            <w:pPr>
              <w:pStyle w:val="LOnormal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LOnormal"/>
        <w:rPr/>
      </w:pPr>
      <w:r>
        <w:rPr>
          <w:sz w:val="24"/>
          <w:szCs w:val="24"/>
        </w:rPr>
        <w:t xml:space="preserve"> </w:t>
      </w:r>
    </w:p>
    <w:tbl>
      <w:tblPr>
        <w:tblStyle w:val="Table13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254"/>
        <w:gridCol w:w="6495"/>
      </w:tblGrid>
      <w:tr>
        <w:trPr/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>
      <w:pPr>
        <w:pStyle w:val="Heading2"/>
        <w:rPr/>
      </w:pPr>
      <w:r>
        <w:rPr/>
        <w:t xml:space="preserve"> </w:t>
      </w:r>
    </w:p>
    <w:p>
      <w:pPr>
        <w:pStyle w:val="Heading1"/>
        <w:rPr/>
      </w:pPr>
      <w:r>
        <w:rPr/>
        <w:t>School budget information</w:t>
      </w:r>
    </w:p>
    <w:tbl>
      <w:tblPr>
        <w:tblStyle w:val="Table1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School pupil forecasts</w:t>
      </w:r>
    </w:p>
    <w:tbl>
      <w:tblPr>
        <w:tblStyle w:val="Table1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0"/>
        <w:gridCol w:w="2430"/>
        <w:gridCol w:w="2430"/>
        <w:gridCol w:w="2429"/>
      </w:tblGrid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>
          <w:sz w:val="24"/>
          <w:szCs w:val="24"/>
        </w:rPr>
        <w:t xml:space="preserve"> </w:t>
      </w:r>
    </w:p>
    <w:tbl>
      <w:tblPr>
        <w:tblStyle w:val="Table16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 xml:space="preserve">Key stage 2 </w:t>
      </w:r>
      <w:r>
        <w:rPr>
          <w:color w:val="1F497D"/>
        </w:rPr>
        <w:t>performance</w:t>
      </w:r>
      <w:r>
        <w:rPr/>
        <w:t xml:space="preserve"> tables (KS2)</w:t>
      </w:r>
    </w:p>
    <w:p>
      <w:pPr>
        <w:pStyle w:val="LOnormal"/>
        <w:rPr/>
      </w:pPr>
      <w:r>
        <w:rPr/>
        <w:t>[KS2PerformanceData]</w:t>
      </w:r>
    </w:p>
    <w:p>
      <w:pPr>
        <w:pStyle w:val="Heading1"/>
        <w:rPr/>
      </w:pPr>
      <w:r>
        <w:rPr/>
        <w:t>Key stage 4 performance tables (KS4)</w:t>
      </w:r>
    </w:p>
    <w:p>
      <w:pPr>
        <w:pStyle w:val="LOnormal"/>
        <w:rPr/>
      </w:pPr>
      <w:r>
        <w:rPr/>
        <w:t>[KS</w:t>
      </w:r>
      <w:r>
        <w:rPr/>
        <w:t>4</w:t>
      </w:r>
      <w:r>
        <w:rPr/>
        <w:t>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Heading1"/>
        <w:rPr/>
      </w:pPr>
      <w:r>
        <w:rPr/>
        <w:t>Key stage 5 performance tables</w:t>
      </w:r>
    </w:p>
    <w:p>
      <w:pPr>
        <w:pStyle w:val="LOnormal"/>
        <w:rPr/>
      </w:pPr>
      <w:r>
        <w:rPr/>
        <w:t>[KS5Performance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Heading2"/>
        <w:keepNext w:val="true"/>
        <w:spacing w:lineRule="auto" w:line="240" w:before="240" w:after="240"/>
        <w:rPr/>
      </w:pPr>
      <w:r>
        <w:rPr/>
        <w:t>Supporting documents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5</Pages>
  <Words>313</Words>
  <Characters>3006</Characters>
  <CharactersWithSpaces>3247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2021-09-14T08:51:43Z</dcterms:modified>
  <cp:revision>6</cp:revision>
  <dc:subject/>
  <dc:title/>
</cp:coreProperties>
</file>