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6802BDFC" w14:textId="77777777" w:rsidR="00FC60C5" w:rsidRDefault="00FC60C5" w:rsidP="00FC60C5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Rationale</w:t>
      </w:r>
    </w:p>
    <w:p w14:paraId="18B98CFA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0072F1">
      <w:pPr>
        <w:spacing w:after="200" w:line="276" w:lineRule="auto"/>
        <w:rPr>
          <w:b/>
          <w:color w:val="104F75"/>
          <w:sz w:val="32"/>
        </w:rPr>
      </w:pPr>
      <w:r>
        <w:rPr>
          <w:b/>
          <w:color w:val="104F75"/>
          <w:sz w:val="36"/>
        </w:rP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6471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Revenue </w:t>
            </w:r>
            <w:proofErr w:type="gramStart"/>
            <w:r>
              <w:rPr>
                <w:b/>
                <w:sz w:val="24"/>
              </w:rPr>
              <w:t>carry</w:t>
            </w:r>
            <w:proofErr w:type="gramEnd"/>
            <w:r>
              <w:rPr>
                <w:b/>
                <w:sz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B9AE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Capital </w:t>
            </w:r>
            <w:proofErr w:type="gramStart"/>
            <w:r>
              <w:rPr>
                <w:b/>
                <w:sz w:val="24"/>
              </w:rPr>
              <w:t>carry</w:t>
            </w:r>
            <w:proofErr w:type="gramEnd"/>
            <w:r>
              <w:rPr>
                <w:b/>
                <w:sz w:val="24"/>
              </w:rPr>
              <w:t xml:space="preserve"> forward at end - March (current year)</w:t>
            </w:r>
          </w:p>
          <w:p w14:paraId="5C629B8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EE306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Capital </w:t>
            </w:r>
            <w:proofErr w:type="gramStart"/>
            <w:r>
              <w:rPr>
                <w:b/>
                <w:sz w:val="24"/>
              </w:rPr>
              <w:t>carry</w:t>
            </w:r>
            <w:proofErr w:type="gramEnd"/>
            <w:r>
              <w:rPr>
                <w:b/>
                <w:sz w:val="24"/>
              </w:rPr>
              <w:t xml:space="preserve"> forward at end - March (following year)</w:t>
            </w:r>
          </w:p>
          <w:p w14:paraId="1FA8511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"/>
        <w:gridCol w:w="2654"/>
        <w:gridCol w:w="3089"/>
        <w:gridCol w:w="2958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lastRenderedPageBreak/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B0DC" w14:textId="77777777" w:rsidR="00332D9E" w:rsidRDefault="00332D9E">
      <w:pPr>
        <w:spacing w:after="0" w:line="240" w:lineRule="auto"/>
      </w:pPr>
      <w:r>
        <w:separator/>
      </w:r>
    </w:p>
  </w:endnote>
  <w:endnote w:type="continuationSeparator" w:id="0">
    <w:p w14:paraId="615151FC" w14:textId="77777777" w:rsidR="00332D9E" w:rsidRDefault="003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6F57" w14:textId="77777777" w:rsidR="00332D9E" w:rsidRDefault="00332D9E">
      <w:pPr>
        <w:spacing w:after="0" w:line="240" w:lineRule="auto"/>
      </w:pPr>
      <w:r>
        <w:separator/>
      </w:r>
    </w:p>
  </w:footnote>
  <w:footnote w:type="continuationSeparator" w:id="0">
    <w:p w14:paraId="57633649" w14:textId="77777777" w:rsidR="00332D9E" w:rsidRDefault="003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70CB8"/>
    <w:rsid w:val="002B707C"/>
    <w:rsid w:val="00327F27"/>
    <w:rsid w:val="00332D9E"/>
    <w:rsid w:val="0033622D"/>
    <w:rsid w:val="00420FBE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  <w:rsid w:val="00F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53</cp:revision>
  <dcterms:created xsi:type="dcterms:W3CDTF">2021-10-18T16:43:00Z</dcterms:created>
  <dcterms:modified xsi:type="dcterms:W3CDTF">2022-09-28T13:41:00Z</dcterms:modified>
  <dc:language>en-GB</dc:language>
</cp:coreProperties>
</file>