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8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Outgoing trust - [TrustName] ( [TrustReferenceNumber] )</w:t>
      </w:r>
    </w:p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[Recommendation]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[Author]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tbl>
      <w:tblPr>
        <w:tblStyle w:val="TableGrid"/>
        <w:tblW w:w="9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24"/>
        <w:gridCol w:w="4508"/>
      </w:tblGrid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[ProjectName]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[SponsorName]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[AcademyTypeAndRoute]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[DateTransferWasFirstDiscussed]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[DateOfHtb]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[DateOfProposedTransfer]</w:t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077" w:right="1077" w:header="425" w:top="851" w:footer="397" w:bottom="992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>General information</w:t>
      </w:r>
    </w:p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[SchoolType]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[SchoolPhase]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[AgeRange]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tbl>
      <w:tblPr>
        <w:tblStyle w:val="TableGrid"/>
        <w:tblW w:w="9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24"/>
        <w:gridCol w:w="4508"/>
      </w:tblGrid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[SchoolCapacity]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[PublishedAdmissionNumber]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[NumberOnRoll]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[PercentageFreeSchoolMeals]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tbl>
      <w:tblPr>
        <w:tblStyle w:val="TableGrid"/>
        <w:tblW w:w="9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7"/>
        <w:gridCol w:w="4865"/>
      </w:tblGrid>
      <w:tr>
        <w:trPr/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Viability issues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</w:tr>
      <w:tr>
        <w:trPr/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</w:tr>
      <w:tr>
        <w:trPr/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7"/>
        <w:gridCol w:w="4865"/>
      </w:tblGrid>
      <w:tr>
        <w:trPr/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</w:tr>
      <w:tr>
        <w:trPr/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Distance from the academy to the trust headqauters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</w:tr>
      <w:tr>
        <w:trPr/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>Features of the transfer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>Benefits and other factors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</w:tbl>
    <w:p>
      <w:pPr>
        <w:sectPr>
          <w:headerReference w:type="default" r:id="rId10"/>
          <w:footerReference w:type="default" r:id="rId11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before="480" w:after="240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  <w:t>[RationaleForProject]</w:t>
            </w:r>
          </w:p>
        </w:tc>
      </w:tr>
    </w:tbl>
    <w:p>
      <w:pPr>
        <w:pStyle w:val="Heading2"/>
        <w:spacing w:before="360" w:after="240"/>
        <w:rPr/>
      </w:pPr>
      <w:r>
        <w:rPr/>
        <w:t>Rationale for the trust or sponsor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  <w:t xml:space="preserve"> </w:t>
            </w:r>
            <w:r>
              <w:rPr>
                <w:rFonts w:eastAsia="Times New Roman" w:cs="Times New Roman"/>
                <w:szCs w:val="20"/>
                <w:lang w:eastAsia="en-GB" w:bidi="ar-SA"/>
              </w:rPr>
              <w:t>[RationaleForTrust]</w:t>
            </w:r>
          </w:p>
        </w:tc>
      </w:tr>
    </w:tbl>
    <w:p>
      <w:pPr>
        <w:sectPr>
          <w:headerReference w:type="default" r:id="rId12"/>
          <w:footerReference w:type="default" r:id="rId13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>Pupil numbers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sectPr>
          <w:headerReference w:type="default" r:id="rId14"/>
          <w:footerReference w:type="default" r:id="rId15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>Latest Ofsted judgement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[OfstedLastInspection]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[OverallEffectiveness]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sectPr>
          <w:headerReference w:type="default" r:id="rId16"/>
          <w:footerReference w:type="default" r:id="rId17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 xml:space="preserve">Key stage 2 </w:t>
      </w:r>
      <w:r>
        <w:rPr>
          <w:color w:val="1F497D" w:themeColor="text2"/>
        </w:rPr>
        <w:t>performance</w:t>
      </w:r>
      <w:r>
        <w:rPr/>
        <w:t xml:space="preserve"> tables (KS2)</w:t>
      </w:r>
    </w:p>
    <w:p>
      <w:pPr>
        <w:pStyle w:val="Heading2"/>
        <w:rPr/>
      </w:pPr>
      <w:r>
        <w:rPr/>
        <w:t>2019 Key stage 2</w:t>
      </w:r>
    </w:p>
    <w:tbl>
      <w:tblPr>
        <w:tblStyle w:val="TableGrid"/>
        <w:tblW w:w="97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0"/>
        <w:gridCol w:w="1620"/>
        <w:gridCol w:w="1621"/>
        <w:gridCol w:w="1620"/>
        <w:gridCol w:w="1620"/>
        <w:gridCol w:w="1620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Maths Progress scores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47 (disadvantaged 20)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31 (disadvantaged 14)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Suppressed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Suppressed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Suppressed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63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0.2 (disadvantaged -0.1)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-0.8  (disadvantaged 0.2)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-0.3 (disadvantaged 0.2)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65 (disadvantaged 51)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11 (disadvantaged 5)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0.a00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  <w:szCs w:val="20"/>
                <w:lang w:eastAsia="en-GB" w:bidi="ar-SA"/>
              </w:rPr>
              <w:t>0.00</w:t>
            </w:r>
          </w:p>
        </w:tc>
      </w:tr>
    </w:tbl>
    <w:p>
      <w:pPr>
        <w:pStyle w:val="Heading2"/>
        <w:spacing w:before="120" w:after="120"/>
        <w:rPr/>
      </w:pPr>
      <w:r>
        <w:rPr/>
      </w:r>
    </w:p>
    <w:p>
      <w:pPr>
        <w:pStyle w:val="Heading2"/>
        <w:spacing w:before="120" w:after="120"/>
        <w:rPr/>
      </w:pPr>
      <w:r>
        <w:rPr/>
        <w:t>2018 Key stage 2</w:t>
      </w:r>
    </w:p>
    <w:tbl>
      <w:tblPr>
        <w:tblStyle w:val="TableGrid"/>
        <w:tblW w:w="97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0"/>
        <w:gridCol w:w="1620"/>
        <w:gridCol w:w="1621"/>
        <w:gridCol w:w="1620"/>
        <w:gridCol w:w="1620"/>
        <w:gridCol w:w="1620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Maths Progress scores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</w:tr>
    </w:tbl>
    <w:p>
      <w:pPr>
        <w:pStyle w:val="Normal"/>
        <w:spacing w:before="120" w:after="120"/>
        <w:rPr/>
      </w:pPr>
      <w:r>
        <w:rPr/>
        <w:t xml:space="preserve"> </w:t>
      </w:r>
    </w:p>
    <w:p>
      <w:pPr>
        <w:pStyle w:val="Heading2"/>
        <w:spacing w:before="120" w:after="120"/>
        <w:rPr/>
      </w:pPr>
      <w:r>
        <w:rPr/>
        <w:t>2017 Key stage 2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0"/>
        <w:gridCol w:w="1620"/>
        <w:gridCol w:w="1621"/>
        <w:gridCol w:w="1620"/>
        <w:gridCol w:w="1620"/>
        <w:gridCol w:w="1620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Times New Roman" w:cs="Times New Roman"/>
                <w:szCs w:val="20"/>
                <w:lang w:eastAsia="en-GB" w:bidi="ar-SA"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Maths Progress scores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rFonts w:eastAsia="Times New Roman" w:cs="Times New Roman"/>
                <w:szCs w:val="20"/>
                <w:lang w:eastAsia="en-GB" w:bidi="ar-SA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  <w:szCs w:val="20"/>
                <w:lang w:eastAsia="en-GB" w:bidi="ar-SA"/>
              </w:rPr>
              <w:t xml:space="preserve"> </w:t>
            </w:r>
          </w:p>
        </w:tc>
      </w:tr>
    </w:tbl>
    <w:p>
      <w:pPr>
        <w:sectPr>
          <w:headerReference w:type="default" r:id="rId18"/>
          <w:footerReference w:type="default" r:id="rId19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/>
        <w:t>Key stage 4 performance tables (KS4)</w:t>
      </w:r>
    </w:p>
    <w:p>
      <w:pPr>
        <w:pStyle w:val="Heading2"/>
        <w:rPr/>
      </w:pPr>
      <w:r>
        <w:rPr/>
        <w:t>Attainment 8</w:t>
      </w:r>
    </w:p>
    <w:p>
      <w:pPr>
        <w:pStyle w:val="Heading3"/>
        <w:rPr/>
      </w:pPr>
      <w:r>
        <w:rPr/>
        <w:t>Attainment 8 Scores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Attainment 8 English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Attainment 8 Maths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Attainment 8 EBacc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4"/>
        <w:gridCol w:w="6508"/>
      </w:tblGrid>
      <w:tr>
        <w:trPr/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lineRule="auto" w:line="240"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sectPr>
          <w:headerReference w:type="default" r:id="rId20"/>
          <w:footerReference w:type="default" r:id="rId21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2"/>
        <w:rPr/>
      </w:pPr>
      <w:r>
        <w:rPr/>
        <w:t>Progress 8</w:t>
      </w:r>
    </w:p>
    <w:p>
      <w:pPr>
        <w:pStyle w:val="Heading3"/>
        <w:rPr/>
      </w:pPr>
      <w:r>
        <w:rPr/>
        <w:t>Pupils included in P8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School progress scores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School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0.08 to 0.38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0.44 to 0.8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0.17 to 0.5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no data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no data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no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Progress 8 English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Progress 8 Maths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Progress 8 EBacc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Percentage of students entering EBacc</w:t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</w: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 xml:space="preserve">53.1 </w:t>
            </w:r>
          </w:p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120" w:after="16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tbl>
      <w:tblPr>
        <w:tblStyle w:val="TableGrid"/>
        <w:tblW w:w="9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4"/>
        <w:gridCol w:w="6508"/>
      </w:tblGrid>
      <w:tr>
        <w:trPr/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before="120" w:after="120"/>
              <w:rPr>
                <w:b/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0"/>
                <w:lang w:eastAsia="en-GB" w:bidi="ar-SA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uppressAutoHyphens w:val="false"/>
              <w:spacing w:lineRule="auto" w:line="240"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0"/>
                <w:lang w:eastAsia="en-GB" w:bidi="ar-SA"/>
              </w:rPr>
            </w:r>
          </w:p>
        </w:tc>
      </w:tr>
    </w:tbl>
    <w:p>
      <w:pPr>
        <w:sectPr>
          <w:headerReference w:type="default" r:id="rId22"/>
          <w:footerReference w:type="default" r:id="rId23"/>
          <w:type w:val="continuous"/>
          <w:pgSz w:w="11906" w:h="16838"/>
          <w:pgMar w:left="1077" w:right="1077" w:header="425" w:top="851" w:footer="397" w:bottom="9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2"/>
        <w:rPr/>
      </w:pPr>
      <w:r>
        <w:rPr/>
        <w:t>Financial assessment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p>
      <w:pPr>
        <w:pStyle w:val="Heading2"/>
        <w:rPr/>
      </w:pPr>
      <w:r>
        <w:rPr/>
        <w:t>RAT report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p>
      <w:pPr>
        <w:pStyle w:val="Heading2"/>
        <w:rPr/>
      </w:pPr>
      <w:r>
        <w:rPr/>
        <w:t>Maps</w:t>
      </w:r>
    </w:p>
    <w:p>
      <w:pPr>
        <w:sectPr>
          <w:type w:val="continuous"/>
          <w:pgSz w:w="11906" w:h="16838"/>
          <w:pgMar w:left="1077" w:right="1077" w:header="425" w:top="851" w:footer="397" w:bottom="992" w:gutter="0"/>
          <w:formProt w:val="false"/>
          <w:textDirection w:val="lrTb"/>
          <w:docGrid w:type="default" w:linePitch="360" w:charSpace="0"/>
        </w:sectPr>
      </w:pPr>
    </w:p>
    <w:p>
      <w:pPr>
        <w:pStyle w:val="Heading2"/>
        <w:rPr/>
      </w:pPr>
      <w:r>
        <w:rPr/>
        <w:t>Maps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88" w:before="0" w:after="160"/>
        <w:jc w:val="left"/>
        <w:rPr/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 xml:space="preserve">Author: </w:t>
    </w:r>
    <w:r>
      <w:rPr/>
      <w:t>[Author]</w:t>
    </w:r>
    <w:r>
      <w:rPr>
        <w:color w:val="000000"/>
      </w:rPr>
      <w:t xml:space="preserve">                Cleared by: </w:t>
    </w:r>
    <w:r>
      <w:rPr/>
      <w:t>[ClearedBy]</w:t>
    </w:r>
    <w:r>
      <w:rPr>
        <w:color w:val="000000"/>
      </w:rPr>
      <w:t xml:space="preserve">                 Version: </w:t>
    </w:r>
    <w:r>
      <w:rPr/>
      <w:t>[Version]</w:t>
    </w:r>
  </w:p>
  <w:p>
    <w:pPr>
      <w:pStyle w:val="LO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>Author: Maeve Roseveare</w:t>
      <w:tab/>
      <w:t xml:space="preserve">                     Cleared by: Tracy Marshall                  Version: 28 May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Author: Maeve Roseveare                 Cleared by: Tracy Marshall                  Version: 28 May 2021</w:t>
    </w:r>
  </w:p>
  <w:p>
    <w:pPr>
      <w:pStyle w:val="Footer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 w:before="0" w:after="0"/>
      <w:rPr>
        <w:b/>
        <w:b/>
        <w:color w:val="000000"/>
      </w:rPr>
    </w:pPr>
    <w:r>
      <w:rPr>
        <w:b/>
        <w:color w:val="000000"/>
      </w:rPr>
    </w:r>
  </w:p>
  <w:tbl>
    <w:tblPr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LOnormal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50" w:type="dxa"/>
          <w:tcBorders/>
        </w:tcPr>
        <w:p>
          <w:pPr>
            <w:pStyle w:val="LOnormal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50" w:type="dxa"/>
          <w:tcBorders/>
        </w:tcPr>
        <w:p>
          <w:pPr>
            <w:pStyle w:val="LOnormal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right="-115" w:hanging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LOnormal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center"/>
      <w:rPr>
        <w:b/>
        <w:b/>
        <w:bCs/>
      </w:rPr>
    </w:pPr>
    <w:r>
      <w:rPr>
        <w:b/>
        <w:bCs/>
      </w:rPr>
      <w:t>OFFICIAL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50"/>
      <w:gridCol w:w="3250"/>
      <w:gridCol w:w="3251"/>
    </w:tblGrid>
    <w:tr>
      <w:trPr/>
      <w:tc>
        <w:tcPr>
          <w:tcW w:w="3250" w:type="dxa"/>
          <w:tcBorders/>
        </w:tcPr>
        <w:p>
          <w:pPr>
            <w:pStyle w:val="Header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50" w:type="dxa"/>
          <w:tcBorders/>
        </w:tcPr>
        <w:p>
          <w:pPr>
            <w:pStyle w:val="Header"/>
            <w:spacing w:before="0" w:after="160"/>
            <w:jc w:val="center"/>
            <w:rPr/>
          </w:pPr>
          <w:r>
            <w:rPr/>
          </w:r>
        </w:p>
      </w:tc>
      <w:tc>
        <w:tcPr>
          <w:tcW w:w="3251" w:type="dxa"/>
          <w:tcBorders/>
        </w:tcPr>
        <w:p>
          <w:pPr>
            <w:pStyle w:val="Header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4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360" w:after="240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spacing w:lineRule="auto" w:line="240" w:before="240" w:after="240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spacing w:lineRule="auto" w:line="240" w:before="240" w:after="240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spacing w:lineRule="auto" w:line="240" w:before="240" w:after="240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spacing w:lineRule="auto" w:line="240" w:before="240" w:after="60"/>
      <w:ind w:left="1008" w:hanging="1008"/>
      <w:outlineLvl w:val="4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spacing w:lineRule="auto" w:line="240" w:before="240" w:after="60"/>
      <w:ind w:left="1152" w:hanging="1152"/>
      <w:outlineLvl w:val="5"/>
    </w:pPr>
    <w:rPr>
      <w:rFonts w:ascii="Calibri" w:hAnsi="Calibri" w:eastAsia="Calibri" w:cs="Calibri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uiPriority w:val="10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link w:val="HeaderChar"/>
    <w:uiPriority w:val="99"/>
    <w:pPr/>
    <w:rPr/>
  </w:style>
  <w:style w:type="paragraph" w:styleId="Footer">
    <w:name w:val="Footer"/>
    <w:basedOn w:val="HeaderandFooter"/>
    <w:link w:val="FooterChar"/>
    <w:uiPriority w:val="9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d4971"/>
    <w:rPr>
      <w:lang w:eastAsia="en-GB" w:bidi="ar-SA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header" Target="header12.xml"/><Relationship Id="rId25" Type="http://schemas.openxmlformats.org/officeDocument/2006/relationships/footer" Target="footer12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11</Pages>
  <Words>858</Words>
  <Characters>5421</Characters>
  <CharactersWithSpaces>6674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2021-07-28T15:38:00Z</dcterms:created>
  <dc:creator/>
  <dc:description/>
  <dc:language>en-GB</dc:language>
  <cp:lastModifiedBy/>
  <dcterms:modified xsi:type="dcterms:W3CDTF">2021-07-29T16:53:27Z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