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B98B" w14:textId="75BBD130" w:rsidR="00A62A2B" w:rsidRPr="00A62A2B" w:rsidRDefault="00A62A2B" w:rsidP="00A62A2B">
      <w:pPr>
        <w:spacing w:before="240"/>
        <w:outlineLvl w:val="0"/>
        <w:rPr>
          <w:rFonts w:ascii="Arial" w:hAnsi="Arial" w:cs="Arial"/>
          <w:b/>
          <w:bCs/>
          <w:color w:val="000000"/>
          <w:kern w:val="36"/>
          <w:sz w:val="44"/>
          <w:szCs w:val="44"/>
          <w:u w:val="single"/>
        </w:rPr>
      </w:pPr>
      <w:r w:rsidRPr="00A62A2B">
        <w:rPr>
          <w:rFonts w:ascii="Arial" w:hAnsi="Arial" w:cs="Arial"/>
          <w:b/>
          <w:bCs/>
          <w:color w:val="000000"/>
          <w:kern w:val="36"/>
          <w:sz w:val="44"/>
          <w:szCs w:val="44"/>
          <w:u w:val="single"/>
        </w:rPr>
        <w:t>Supplementary Materials</w:t>
      </w:r>
    </w:p>
    <w:p w14:paraId="75E4D505" w14:textId="77777777" w:rsidR="00A62A2B" w:rsidRDefault="00A62A2B" w:rsidP="00A62A2B">
      <w:pPr>
        <w:spacing w:before="240"/>
        <w:outlineLvl w:val="0"/>
        <w:rPr>
          <w:rFonts w:ascii="Arial" w:hAnsi="Arial" w:cs="Arial"/>
          <w:b/>
          <w:bCs/>
          <w:color w:val="000000"/>
          <w:kern w:val="36"/>
          <w:sz w:val="44"/>
          <w:szCs w:val="44"/>
        </w:rPr>
      </w:pPr>
    </w:p>
    <w:p w14:paraId="75E4B5D2" w14:textId="487E3010" w:rsidR="00A62A2B" w:rsidRPr="00A62A2B" w:rsidRDefault="00A62A2B" w:rsidP="00A62A2B">
      <w:pPr>
        <w:spacing w:before="240"/>
        <w:outlineLvl w:val="0"/>
        <w:rPr>
          <w:b/>
          <w:bCs/>
          <w:kern w:val="36"/>
          <w:sz w:val="48"/>
          <w:szCs w:val="48"/>
        </w:rPr>
      </w:pPr>
      <w:r w:rsidRPr="00A62A2B">
        <w:rPr>
          <w:rFonts w:ascii="Arial" w:hAnsi="Arial" w:cs="Arial"/>
          <w:b/>
          <w:bCs/>
          <w:color w:val="000000"/>
          <w:kern w:val="36"/>
          <w:sz w:val="44"/>
          <w:szCs w:val="44"/>
        </w:rPr>
        <w:t>Plasma Metabolites Enable Rapid Prediction of Gut Microbiome Health</w:t>
      </w:r>
    </w:p>
    <w:p w14:paraId="62202050" w14:textId="77777777" w:rsidR="00A62A2B" w:rsidRPr="00A62A2B" w:rsidRDefault="00A62A2B" w:rsidP="00A62A2B"/>
    <w:p w14:paraId="058493FA" w14:textId="77777777" w:rsidR="00A62A2B" w:rsidRPr="00A62A2B" w:rsidRDefault="00A62A2B" w:rsidP="00A62A2B">
      <w:pPr>
        <w:spacing w:before="240"/>
        <w:outlineLvl w:val="0"/>
        <w:rPr>
          <w:b/>
          <w:bCs/>
          <w:kern w:val="36"/>
          <w:sz w:val="48"/>
          <w:szCs w:val="48"/>
        </w:rPr>
      </w:pPr>
      <w:r w:rsidRPr="00A62A2B">
        <w:rPr>
          <w:rFonts w:ascii="Arial" w:hAnsi="Arial" w:cs="Arial"/>
          <w:color w:val="000000"/>
          <w:kern w:val="36"/>
          <w:sz w:val="22"/>
          <w:szCs w:val="22"/>
        </w:rPr>
        <w:t>Ramanujam Ramaswamy</w:t>
      </w:r>
      <w:r w:rsidRPr="00A62A2B">
        <w:rPr>
          <w:rFonts w:ascii="Arial" w:hAnsi="Arial" w:cs="Arial"/>
          <w:color w:val="000000"/>
          <w:kern w:val="36"/>
          <w:sz w:val="13"/>
          <w:szCs w:val="13"/>
          <w:vertAlign w:val="superscript"/>
        </w:rPr>
        <w:t>1</w:t>
      </w:r>
      <w:r w:rsidRPr="00A62A2B">
        <w:rPr>
          <w:rFonts w:ascii="Arial" w:hAnsi="Arial" w:cs="Arial"/>
          <w:color w:val="000000"/>
          <w:kern w:val="36"/>
          <w:sz w:val="22"/>
          <w:szCs w:val="22"/>
        </w:rPr>
        <w:t>, Angelica Moran</w:t>
      </w:r>
      <w:r w:rsidRPr="00A62A2B">
        <w:rPr>
          <w:rFonts w:ascii="Arial" w:hAnsi="Arial" w:cs="Arial"/>
          <w:color w:val="000000"/>
          <w:kern w:val="36"/>
          <w:sz w:val="13"/>
          <w:szCs w:val="13"/>
          <w:vertAlign w:val="superscript"/>
        </w:rPr>
        <w:t>1,2</w:t>
      </w:r>
      <w:r w:rsidRPr="00A62A2B">
        <w:rPr>
          <w:rFonts w:ascii="Arial" w:hAnsi="Arial" w:cs="Arial"/>
          <w:color w:val="000000"/>
          <w:kern w:val="36"/>
          <w:sz w:val="22"/>
          <w:szCs w:val="22"/>
        </w:rPr>
        <w:t>, Sabrina Imam</w:t>
      </w:r>
      <w:r w:rsidRPr="00A62A2B">
        <w:rPr>
          <w:rFonts w:ascii="Arial" w:hAnsi="Arial" w:cs="Arial"/>
          <w:color w:val="000000"/>
          <w:kern w:val="36"/>
          <w:sz w:val="13"/>
          <w:szCs w:val="13"/>
          <w:vertAlign w:val="superscript"/>
        </w:rPr>
        <w:t>3</w:t>
      </w:r>
      <w:r w:rsidRPr="00A62A2B">
        <w:rPr>
          <w:rFonts w:ascii="Arial" w:hAnsi="Arial" w:cs="Arial"/>
          <w:color w:val="000000"/>
          <w:kern w:val="36"/>
          <w:sz w:val="22"/>
          <w:szCs w:val="22"/>
        </w:rPr>
        <w:t>, Antonio Hernandez</w:t>
      </w:r>
      <w:r w:rsidRPr="00A62A2B">
        <w:rPr>
          <w:rFonts w:ascii="Arial" w:hAnsi="Arial" w:cs="Arial"/>
          <w:color w:val="000000"/>
          <w:kern w:val="36"/>
          <w:sz w:val="13"/>
          <w:szCs w:val="13"/>
          <w:vertAlign w:val="superscript"/>
        </w:rPr>
        <w:t>1</w:t>
      </w:r>
      <w:r w:rsidRPr="00A62A2B">
        <w:rPr>
          <w:rFonts w:ascii="Arial" w:hAnsi="Arial" w:cs="Arial"/>
          <w:color w:val="000000"/>
          <w:kern w:val="36"/>
          <w:sz w:val="22"/>
          <w:szCs w:val="22"/>
        </w:rPr>
        <w:t>, Amber Rose</w:t>
      </w:r>
      <w:r w:rsidRPr="00A62A2B">
        <w:rPr>
          <w:rFonts w:ascii="Arial" w:hAnsi="Arial" w:cs="Arial"/>
          <w:color w:val="000000"/>
          <w:kern w:val="36"/>
          <w:sz w:val="13"/>
          <w:szCs w:val="13"/>
          <w:vertAlign w:val="superscript"/>
        </w:rPr>
        <w:t>1</w:t>
      </w:r>
      <w:r w:rsidRPr="00A62A2B">
        <w:rPr>
          <w:rFonts w:ascii="Arial" w:hAnsi="Arial" w:cs="Arial"/>
          <w:color w:val="000000"/>
          <w:kern w:val="36"/>
          <w:sz w:val="22"/>
          <w:szCs w:val="22"/>
        </w:rPr>
        <w:t>, Jessica Little</w:t>
      </w:r>
      <w:r w:rsidRPr="00A62A2B">
        <w:rPr>
          <w:rFonts w:ascii="Arial" w:hAnsi="Arial" w:cs="Arial"/>
          <w:color w:val="000000"/>
          <w:kern w:val="36"/>
          <w:sz w:val="13"/>
          <w:szCs w:val="13"/>
          <w:vertAlign w:val="superscript"/>
        </w:rPr>
        <w:t>1</w:t>
      </w:r>
      <w:r w:rsidRPr="00A62A2B">
        <w:rPr>
          <w:rFonts w:ascii="Arial" w:hAnsi="Arial" w:cs="Arial"/>
          <w:color w:val="000000"/>
          <w:kern w:val="36"/>
          <w:sz w:val="22"/>
          <w:szCs w:val="22"/>
        </w:rPr>
        <w:t>, David Moran</w:t>
      </w:r>
      <w:r w:rsidRPr="00A62A2B">
        <w:rPr>
          <w:rFonts w:ascii="Arial" w:hAnsi="Arial" w:cs="Arial"/>
          <w:color w:val="000000"/>
          <w:kern w:val="36"/>
          <w:sz w:val="13"/>
          <w:szCs w:val="13"/>
          <w:vertAlign w:val="superscript"/>
        </w:rPr>
        <w:t>1</w:t>
      </w:r>
      <w:r w:rsidRPr="00A62A2B">
        <w:rPr>
          <w:rFonts w:ascii="Arial" w:hAnsi="Arial" w:cs="Arial"/>
          <w:color w:val="000000"/>
          <w:kern w:val="36"/>
          <w:sz w:val="22"/>
          <w:szCs w:val="22"/>
        </w:rPr>
        <w:t>, Ashley Sidebottom</w:t>
      </w:r>
      <w:r w:rsidRPr="00A62A2B">
        <w:rPr>
          <w:rFonts w:ascii="Arial" w:hAnsi="Arial" w:cs="Arial"/>
          <w:color w:val="000000"/>
          <w:kern w:val="36"/>
          <w:sz w:val="13"/>
          <w:szCs w:val="13"/>
          <w:vertAlign w:val="superscript"/>
        </w:rPr>
        <w:t>1</w:t>
      </w:r>
      <w:r w:rsidRPr="00A62A2B">
        <w:rPr>
          <w:rFonts w:ascii="Arial" w:hAnsi="Arial" w:cs="Arial"/>
          <w:color w:val="000000"/>
          <w:kern w:val="36"/>
          <w:sz w:val="22"/>
          <w:szCs w:val="22"/>
        </w:rPr>
        <w:t>, Victoria Burgo</w:t>
      </w:r>
      <w:r w:rsidRPr="00A62A2B">
        <w:rPr>
          <w:rFonts w:ascii="Arial" w:hAnsi="Arial" w:cs="Arial"/>
          <w:color w:val="000000"/>
          <w:kern w:val="36"/>
          <w:sz w:val="13"/>
          <w:szCs w:val="13"/>
          <w:vertAlign w:val="superscript"/>
        </w:rPr>
        <w:t>1</w:t>
      </w:r>
      <w:r w:rsidRPr="00A62A2B">
        <w:rPr>
          <w:rFonts w:ascii="Arial" w:hAnsi="Arial" w:cs="Arial"/>
          <w:color w:val="000000"/>
          <w:kern w:val="36"/>
          <w:sz w:val="22"/>
          <w:szCs w:val="22"/>
        </w:rPr>
        <w:t>, Shanna Banogon</w:t>
      </w:r>
      <w:r w:rsidRPr="00A62A2B">
        <w:rPr>
          <w:rFonts w:ascii="Arial" w:hAnsi="Arial" w:cs="Arial"/>
          <w:color w:val="000000"/>
          <w:kern w:val="36"/>
          <w:sz w:val="13"/>
          <w:szCs w:val="13"/>
          <w:vertAlign w:val="superscript"/>
        </w:rPr>
        <w:t>1</w:t>
      </w:r>
      <w:r w:rsidRPr="00A62A2B">
        <w:rPr>
          <w:rFonts w:ascii="Arial" w:hAnsi="Arial" w:cs="Arial"/>
          <w:color w:val="000000"/>
          <w:kern w:val="36"/>
          <w:sz w:val="22"/>
          <w:szCs w:val="22"/>
        </w:rPr>
        <w:t xml:space="preserve">, </w:t>
      </w:r>
      <w:proofErr w:type="spellStart"/>
      <w:r w:rsidRPr="00A62A2B">
        <w:rPr>
          <w:rFonts w:ascii="Arial" w:hAnsi="Arial" w:cs="Arial"/>
          <w:color w:val="000000"/>
          <w:kern w:val="36"/>
          <w:sz w:val="22"/>
          <w:szCs w:val="22"/>
        </w:rPr>
        <w:t>Huaiying</w:t>
      </w:r>
      <w:proofErr w:type="spellEnd"/>
      <w:r w:rsidRPr="00A62A2B">
        <w:rPr>
          <w:rFonts w:ascii="Arial" w:hAnsi="Arial" w:cs="Arial"/>
          <w:color w:val="000000"/>
          <w:kern w:val="36"/>
          <w:sz w:val="22"/>
          <w:szCs w:val="22"/>
        </w:rPr>
        <w:t xml:space="preserve"> Lin</w:t>
      </w:r>
      <w:r w:rsidRPr="00A62A2B">
        <w:rPr>
          <w:rFonts w:ascii="Arial" w:hAnsi="Arial" w:cs="Arial"/>
          <w:color w:val="000000"/>
          <w:kern w:val="36"/>
          <w:sz w:val="13"/>
          <w:szCs w:val="13"/>
          <w:vertAlign w:val="superscript"/>
        </w:rPr>
        <w:t>1</w:t>
      </w:r>
      <w:r w:rsidRPr="00A62A2B">
        <w:rPr>
          <w:rFonts w:ascii="Arial" w:hAnsi="Arial" w:cs="Arial"/>
          <w:color w:val="000000"/>
          <w:kern w:val="36"/>
          <w:sz w:val="22"/>
          <w:szCs w:val="22"/>
        </w:rPr>
        <w:t>, Mark D’Souza</w:t>
      </w:r>
      <w:r w:rsidRPr="00A62A2B">
        <w:rPr>
          <w:rFonts w:ascii="Arial" w:hAnsi="Arial" w:cs="Arial"/>
          <w:color w:val="000000"/>
          <w:kern w:val="36"/>
          <w:sz w:val="13"/>
          <w:szCs w:val="13"/>
          <w:vertAlign w:val="superscript"/>
        </w:rPr>
        <w:t>1</w:t>
      </w:r>
      <w:r w:rsidRPr="00A62A2B">
        <w:rPr>
          <w:rFonts w:ascii="Arial" w:hAnsi="Arial" w:cs="Arial"/>
          <w:color w:val="000000"/>
          <w:kern w:val="36"/>
          <w:sz w:val="22"/>
          <w:szCs w:val="22"/>
        </w:rPr>
        <w:t xml:space="preserve">, </w:t>
      </w:r>
      <w:proofErr w:type="spellStart"/>
      <w:r w:rsidRPr="00A62A2B">
        <w:rPr>
          <w:rFonts w:ascii="Arial" w:hAnsi="Arial" w:cs="Arial"/>
          <w:color w:val="000000"/>
          <w:kern w:val="36"/>
          <w:sz w:val="22"/>
          <w:szCs w:val="22"/>
        </w:rPr>
        <w:t>Jinyue</w:t>
      </w:r>
      <w:proofErr w:type="spellEnd"/>
      <w:r w:rsidRPr="00A62A2B">
        <w:rPr>
          <w:rFonts w:ascii="Arial" w:hAnsi="Arial" w:cs="Arial"/>
          <w:color w:val="000000"/>
          <w:kern w:val="36"/>
          <w:sz w:val="22"/>
          <w:szCs w:val="22"/>
        </w:rPr>
        <w:t xml:space="preserve"> Wang</w:t>
      </w:r>
      <w:r w:rsidRPr="00A62A2B">
        <w:rPr>
          <w:rFonts w:ascii="Arial" w:hAnsi="Arial" w:cs="Arial"/>
          <w:color w:val="000000"/>
          <w:kern w:val="36"/>
          <w:sz w:val="12"/>
          <w:szCs w:val="12"/>
          <w:vertAlign w:val="superscript"/>
        </w:rPr>
        <w:t>3</w:t>
      </w:r>
      <w:r w:rsidRPr="00A62A2B">
        <w:rPr>
          <w:rFonts w:ascii="Arial" w:hAnsi="Arial" w:cs="Arial"/>
          <w:color w:val="000000"/>
          <w:kern w:val="36"/>
          <w:sz w:val="22"/>
          <w:szCs w:val="22"/>
        </w:rPr>
        <w:t xml:space="preserve">, </w:t>
      </w:r>
      <w:proofErr w:type="spellStart"/>
      <w:r w:rsidRPr="00A62A2B">
        <w:rPr>
          <w:rFonts w:ascii="Arial" w:hAnsi="Arial" w:cs="Arial"/>
          <w:color w:val="000000"/>
          <w:kern w:val="36"/>
          <w:sz w:val="22"/>
          <w:szCs w:val="22"/>
        </w:rPr>
        <w:t>Olatoyosi</w:t>
      </w:r>
      <w:proofErr w:type="spellEnd"/>
      <w:r w:rsidRPr="00A62A2B">
        <w:rPr>
          <w:rFonts w:ascii="Arial" w:hAnsi="Arial" w:cs="Arial"/>
          <w:color w:val="000000"/>
          <w:kern w:val="36"/>
          <w:sz w:val="22"/>
          <w:szCs w:val="22"/>
        </w:rPr>
        <w:t xml:space="preserve"> M Odenike</w:t>
      </w:r>
      <w:r w:rsidRPr="00A62A2B">
        <w:rPr>
          <w:rFonts w:ascii="Arial" w:hAnsi="Arial" w:cs="Arial"/>
          <w:color w:val="000000"/>
          <w:kern w:val="36"/>
          <w:sz w:val="13"/>
          <w:szCs w:val="13"/>
          <w:vertAlign w:val="superscript"/>
        </w:rPr>
        <w:t>3</w:t>
      </w:r>
      <w:r w:rsidRPr="00A62A2B">
        <w:rPr>
          <w:rFonts w:ascii="Arial" w:hAnsi="Arial" w:cs="Arial"/>
          <w:color w:val="000000"/>
          <w:kern w:val="36"/>
          <w:sz w:val="22"/>
          <w:szCs w:val="22"/>
        </w:rPr>
        <w:t>, Christopher J Lehmann</w:t>
      </w:r>
      <w:r w:rsidRPr="00A62A2B">
        <w:rPr>
          <w:rFonts w:ascii="Arial" w:hAnsi="Arial" w:cs="Arial"/>
          <w:color w:val="000000"/>
          <w:kern w:val="36"/>
          <w:sz w:val="13"/>
          <w:szCs w:val="13"/>
          <w:vertAlign w:val="superscript"/>
        </w:rPr>
        <w:t>3</w:t>
      </w:r>
      <w:r w:rsidRPr="00A62A2B">
        <w:rPr>
          <w:rFonts w:ascii="Arial" w:hAnsi="Arial" w:cs="Arial"/>
          <w:color w:val="000000"/>
          <w:kern w:val="36"/>
          <w:sz w:val="22"/>
          <w:szCs w:val="22"/>
        </w:rPr>
        <w:t>, Krysta S. Wolfe</w:t>
      </w:r>
      <w:r w:rsidRPr="00A62A2B">
        <w:rPr>
          <w:rFonts w:ascii="Arial" w:hAnsi="Arial" w:cs="Arial"/>
          <w:color w:val="000000"/>
          <w:kern w:val="36"/>
          <w:sz w:val="12"/>
          <w:szCs w:val="12"/>
          <w:vertAlign w:val="superscript"/>
        </w:rPr>
        <w:t>3</w:t>
      </w:r>
      <w:r w:rsidRPr="00A62A2B">
        <w:rPr>
          <w:rFonts w:ascii="Arial" w:hAnsi="Arial" w:cs="Arial"/>
          <w:color w:val="000000"/>
          <w:kern w:val="36"/>
          <w:sz w:val="22"/>
          <w:szCs w:val="22"/>
        </w:rPr>
        <w:t>, Bhakti Patel</w:t>
      </w:r>
      <w:r w:rsidRPr="00A62A2B">
        <w:rPr>
          <w:rFonts w:ascii="Arial" w:hAnsi="Arial" w:cs="Arial"/>
          <w:color w:val="000000"/>
          <w:kern w:val="36"/>
          <w:sz w:val="12"/>
          <w:szCs w:val="12"/>
          <w:vertAlign w:val="superscript"/>
        </w:rPr>
        <w:t>3</w:t>
      </w:r>
      <w:r w:rsidRPr="00A62A2B">
        <w:rPr>
          <w:rFonts w:ascii="Arial" w:hAnsi="Arial" w:cs="Arial"/>
          <w:color w:val="000000"/>
          <w:kern w:val="36"/>
          <w:sz w:val="22"/>
          <w:szCs w:val="22"/>
        </w:rPr>
        <w:t>, and Eric G. Pamer</w:t>
      </w:r>
      <w:r w:rsidRPr="00A62A2B">
        <w:rPr>
          <w:rFonts w:ascii="Arial" w:hAnsi="Arial" w:cs="Arial"/>
          <w:color w:val="000000"/>
          <w:kern w:val="36"/>
          <w:sz w:val="13"/>
          <w:szCs w:val="13"/>
          <w:vertAlign w:val="superscript"/>
        </w:rPr>
        <w:t>1,4</w:t>
      </w:r>
    </w:p>
    <w:p w14:paraId="4A2D9B69" w14:textId="77777777" w:rsidR="00A62A2B" w:rsidRPr="00A62A2B" w:rsidRDefault="00A62A2B" w:rsidP="00A62A2B"/>
    <w:p w14:paraId="52AFF0D2" w14:textId="77777777" w:rsidR="00A62A2B" w:rsidRPr="00A62A2B" w:rsidRDefault="00A62A2B" w:rsidP="00A62A2B">
      <w:pPr>
        <w:spacing w:before="60"/>
        <w:outlineLvl w:val="0"/>
        <w:rPr>
          <w:b/>
          <w:bCs/>
          <w:kern w:val="36"/>
          <w:sz w:val="48"/>
          <w:szCs w:val="48"/>
        </w:rPr>
      </w:pPr>
      <w:r w:rsidRPr="00A62A2B">
        <w:rPr>
          <w:rFonts w:ascii="Arial" w:hAnsi="Arial" w:cs="Arial"/>
          <w:color w:val="000000"/>
          <w:kern w:val="36"/>
          <w:sz w:val="11"/>
          <w:szCs w:val="11"/>
          <w:vertAlign w:val="superscript"/>
        </w:rPr>
        <w:t>1</w:t>
      </w:r>
      <w:r w:rsidRPr="00A62A2B">
        <w:rPr>
          <w:rFonts w:ascii="Arial" w:hAnsi="Arial" w:cs="Arial"/>
          <w:color w:val="000000"/>
          <w:kern w:val="36"/>
          <w:sz w:val="18"/>
          <w:szCs w:val="18"/>
        </w:rPr>
        <w:t>Duchossois Family Institute, University of Chicago, Chicago, IL 60637, USA</w:t>
      </w:r>
    </w:p>
    <w:p w14:paraId="42B694C9" w14:textId="77777777" w:rsidR="00A62A2B" w:rsidRPr="00A62A2B" w:rsidRDefault="00A62A2B" w:rsidP="00A62A2B">
      <w:pPr>
        <w:spacing w:before="60"/>
        <w:outlineLvl w:val="0"/>
        <w:rPr>
          <w:b/>
          <w:bCs/>
          <w:kern w:val="36"/>
          <w:sz w:val="48"/>
          <w:szCs w:val="48"/>
        </w:rPr>
      </w:pPr>
      <w:r w:rsidRPr="00A62A2B">
        <w:rPr>
          <w:rFonts w:ascii="Arial" w:hAnsi="Arial" w:cs="Arial"/>
          <w:color w:val="000000"/>
          <w:kern w:val="36"/>
          <w:sz w:val="11"/>
          <w:szCs w:val="11"/>
          <w:vertAlign w:val="superscript"/>
        </w:rPr>
        <w:t>2</w:t>
      </w:r>
      <w:r w:rsidRPr="00A62A2B">
        <w:rPr>
          <w:rFonts w:ascii="Arial" w:hAnsi="Arial" w:cs="Arial"/>
          <w:color w:val="000000"/>
          <w:kern w:val="36"/>
          <w:sz w:val="18"/>
          <w:szCs w:val="18"/>
        </w:rPr>
        <w:t>Department of Pathology, University of Chicago Medicine, Chicago, IL 60637, USA</w:t>
      </w:r>
    </w:p>
    <w:p w14:paraId="7176BD75" w14:textId="77777777" w:rsidR="00A62A2B" w:rsidRPr="00A62A2B" w:rsidRDefault="00A62A2B" w:rsidP="00A62A2B">
      <w:pPr>
        <w:spacing w:before="60"/>
        <w:outlineLvl w:val="0"/>
        <w:rPr>
          <w:b/>
          <w:bCs/>
          <w:kern w:val="36"/>
          <w:sz w:val="48"/>
          <w:szCs w:val="48"/>
        </w:rPr>
      </w:pPr>
      <w:r w:rsidRPr="00A62A2B">
        <w:rPr>
          <w:rFonts w:ascii="Arial" w:hAnsi="Arial" w:cs="Arial"/>
          <w:color w:val="000000"/>
          <w:kern w:val="36"/>
          <w:sz w:val="11"/>
          <w:szCs w:val="11"/>
          <w:vertAlign w:val="superscript"/>
        </w:rPr>
        <w:t>3</w:t>
      </w:r>
      <w:r w:rsidRPr="00A62A2B">
        <w:rPr>
          <w:rFonts w:ascii="Arial" w:hAnsi="Arial" w:cs="Arial"/>
          <w:color w:val="000000"/>
          <w:kern w:val="36"/>
          <w:sz w:val="18"/>
          <w:szCs w:val="18"/>
        </w:rPr>
        <w:t>Department of Medicine, University of Chicago Medicine, Chicago, IL, United States</w:t>
      </w:r>
    </w:p>
    <w:p w14:paraId="51EF465A" w14:textId="734F148E" w:rsidR="00A62A2B" w:rsidRDefault="00A62A2B" w:rsidP="00A62A2B">
      <w:r w:rsidRPr="00A62A2B">
        <w:rPr>
          <w:rFonts w:ascii="Arial" w:hAnsi="Arial" w:cs="Arial"/>
          <w:color w:val="000000"/>
          <w:sz w:val="11"/>
          <w:szCs w:val="11"/>
          <w:vertAlign w:val="superscript"/>
        </w:rPr>
        <w:t>4</w:t>
      </w:r>
      <w:r w:rsidRPr="00A62A2B">
        <w:rPr>
          <w:rFonts w:ascii="Arial" w:hAnsi="Arial" w:cs="Arial"/>
          <w:color w:val="000000"/>
          <w:sz w:val="18"/>
          <w:szCs w:val="18"/>
        </w:rPr>
        <w:t xml:space="preserve">Department of Medicine, Section of Infectious Disease and Global Health, University of Chicago Medicine, 5841 S. Maryland Ave., Chicago, IL 60637, USA; Duchossois Family Institute, Biological Sciences Division, University of Chicago, 900 E. 57th St, Chicago, IL 60637, USA. Electronic address: </w:t>
      </w:r>
      <w:hyperlink r:id="rId4" w:history="1">
        <w:r w:rsidRPr="00A62A2B">
          <w:rPr>
            <w:rFonts w:ascii="Arial" w:hAnsi="Arial" w:cs="Arial"/>
            <w:color w:val="1155CC"/>
            <w:sz w:val="18"/>
            <w:szCs w:val="18"/>
            <w:u w:val="single"/>
          </w:rPr>
          <w:t>egpamer@bsd.uchicago.edu</w:t>
        </w:r>
      </w:hyperlink>
    </w:p>
    <w:p w14:paraId="25B7E091" w14:textId="77777777" w:rsidR="00A62A2B" w:rsidRDefault="00A62A2B"/>
    <w:p w14:paraId="11373960" w14:textId="77777777" w:rsidR="00A62A2B" w:rsidRDefault="00A62A2B"/>
    <w:p w14:paraId="4D326480" w14:textId="77777777" w:rsidR="00A62A2B" w:rsidRDefault="00A62A2B"/>
    <w:p w14:paraId="2390846F" w14:textId="77777777" w:rsidR="00A62A2B" w:rsidRDefault="00A62A2B"/>
    <w:p w14:paraId="6CF4E5C2" w14:textId="77777777" w:rsidR="00A62A2B" w:rsidRDefault="00A62A2B"/>
    <w:p w14:paraId="6A3B1590" w14:textId="77777777" w:rsidR="00A62A2B" w:rsidRDefault="00A62A2B"/>
    <w:p w14:paraId="4753DFBE" w14:textId="77777777" w:rsidR="00A62A2B" w:rsidRDefault="00A62A2B"/>
    <w:p w14:paraId="373A3F70" w14:textId="77777777" w:rsidR="00A62A2B" w:rsidRDefault="00A62A2B">
      <w:pPr>
        <w:rPr>
          <w:rFonts w:asciiTheme="majorHAnsi" w:eastAsiaTheme="majorEastAsia" w:hAnsiTheme="majorHAnsi" w:cstheme="majorBidi"/>
          <w:color w:val="365F91" w:themeColor="accent1" w:themeShade="BF"/>
          <w:sz w:val="26"/>
          <w:szCs w:val="26"/>
        </w:rPr>
      </w:pPr>
      <w:r>
        <w:br w:type="page"/>
      </w:r>
    </w:p>
    <w:p w14:paraId="5F81739E" w14:textId="09059BE4" w:rsidR="00F72529" w:rsidRDefault="00F72529" w:rsidP="00A62A2B">
      <w:pPr>
        <w:pStyle w:val="Heading2"/>
      </w:pPr>
      <w:r>
        <w:lastRenderedPageBreak/>
        <w:t>Supplementary Table Legends</w:t>
      </w:r>
    </w:p>
    <w:p w14:paraId="1CE35DF5" w14:textId="77777777" w:rsidR="00F72529" w:rsidRDefault="00F72529"/>
    <w:p w14:paraId="3F12C652" w14:textId="4AF0169F" w:rsidR="00F72529" w:rsidRDefault="00F72529">
      <w:r w:rsidRPr="00F72529">
        <w:rPr>
          <w:b/>
          <w:bCs/>
        </w:rPr>
        <w:t>Table S1. AML discovery cohort sample characteristics.</w:t>
      </w:r>
      <w:r>
        <w:t xml:space="preserve"> Clinical and demographic characteristics of acute myeloid leukemia (AML) patients and samples included in the discovery cohort.</w:t>
      </w:r>
    </w:p>
    <w:p w14:paraId="6BCCAEA1" w14:textId="77777777" w:rsidR="00F72529" w:rsidRDefault="00F72529"/>
    <w:p w14:paraId="0AFC2828" w14:textId="16D7A269" w:rsidR="00F72529" w:rsidRPr="00F72529" w:rsidRDefault="00F72529">
      <w:pPr>
        <w:rPr>
          <w:b/>
          <w:bCs/>
        </w:rPr>
      </w:pPr>
      <w:r w:rsidRPr="00F72529">
        <w:rPr>
          <w:b/>
          <w:bCs/>
        </w:rPr>
        <w:t>Table S2. Healthy donor sample ids</w:t>
      </w:r>
    </w:p>
    <w:p w14:paraId="31253908" w14:textId="77777777" w:rsidR="00F72529" w:rsidRDefault="00F72529"/>
    <w:p w14:paraId="1D15912A" w14:textId="53317BEB" w:rsidR="00F72529" w:rsidRDefault="00F72529">
      <w:r w:rsidRPr="00F72529">
        <w:rPr>
          <w:b/>
          <w:bCs/>
        </w:rPr>
        <w:t>Table S3. MICU validation cohort sample characteristics.</w:t>
      </w:r>
      <w:r>
        <w:t xml:space="preserve"> Clinical and demographic characteristics of medical intensive care unit (MICU) patients included in the validation cohort.</w:t>
      </w:r>
    </w:p>
    <w:p w14:paraId="3F154E22" w14:textId="77777777" w:rsidR="00F72529" w:rsidRDefault="00F72529"/>
    <w:p w14:paraId="0B8DF73D" w14:textId="6C2DB157" w:rsidR="00F72529" w:rsidRDefault="00F72529">
      <w:r w:rsidRPr="00F72529">
        <w:rPr>
          <w:b/>
          <w:bCs/>
        </w:rPr>
        <w:t>Table S4. Metabolite panel.</w:t>
      </w:r>
      <w:r>
        <w:t xml:space="preserve"> Complete list of 115 metabolites measured across bile acid, tryptophan, and short-chain fatty acid panels for both fecal and plasma samples. </w:t>
      </w:r>
    </w:p>
    <w:p w14:paraId="0A3983BF" w14:textId="77777777" w:rsidR="00F72529" w:rsidRDefault="00F72529"/>
    <w:p w14:paraId="57329E53" w14:textId="7D642486" w:rsidR="00F72529" w:rsidRDefault="00F72529">
      <w:r w:rsidRPr="00F72529">
        <w:rPr>
          <w:b/>
          <w:bCs/>
        </w:rPr>
        <w:t xml:space="preserve">Table S5. Diversity prediction model performance. </w:t>
      </w:r>
      <w:r>
        <w:t>Random forest regression performance metrics for diversity metrics across fecal and plasma samples.</w:t>
      </w:r>
    </w:p>
    <w:p w14:paraId="1CF4DC90" w14:textId="77777777" w:rsidR="00F72529" w:rsidRDefault="00F72529"/>
    <w:p w14:paraId="339F0083" w14:textId="3D4D4E5C" w:rsidR="00F72529" w:rsidRDefault="00F72529">
      <w:r w:rsidRPr="00F72529">
        <w:rPr>
          <w:b/>
          <w:bCs/>
        </w:rPr>
        <w:t xml:space="preserve">Table S6. Bacterial family prediction model performance. </w:t>
      </w:r>
      <w:r>
        <w:t>Random forest classification performance metrics for all bacterial families identified.</w:t>
      </w:r>
    </w:p>
    <w:p w14:paraId="4E389145" w14:textId="77777777" w:rsidR="00F72529" w:rsidRDefault="00F72529"/>
    <w:p w14:paraId="415DD181" w14:textId="27E56F71" w:rsidR="00F72529" w:rsidRDefault="00F72529">
      <w:r w:rsidRPr="00F72529">
        <w:rPr>
          <w:b/>
          <w:bCs/>
        </w:rPr>
        <w:t>Table S7. MICU validation cohort diversity predictions.</w:t>
      </w:r>
      <w:r>
        <w:t xml:space="preserve"> Sample-level predicted versus actual Shannon diversity values for all MICU validation samples.</w:t>
      </w:r>
    </w:p>
    <w:p w14:paraId="63443F7D" w14:textId="77777777" w:rsidR="00F72529" w:rsidRDefault="00F72529"/>
    <w:p w14:paraId="212EF98E" w14:textId="28231426" w:rsidR="00F72529" w:rsidRDefault="00F72529" w:rsidP="00F72529">
      <w:r w:rsidRPr="00F72529">
        <w:rPr>
          <w:b/>
          <w:bCs/>
        </w:rPr>
        <w:t>Table S8. MICU validation cohort commensal predictions.</w:t>
      </w:r>
      <w:r>
        <w:t xml:space="preserve"> Sample-level predicted versus actual presence/absence for </w:t>
      </w:r>
      <w:proofErr w:type="spellStart"/>
      <w:r w:rsidRPr="00F72529">
        <w:rPr>
          <w:i/>
          <w:iCs/>
        </w:rPr>
        <w:t>Lachnospiraceae</w:t>
      </w:r>
      <w:proofErr w:type="spellEnd"/>
      <w:r>
        <w:t xml:space="preserve">, </w:t>
      </w:r>
      <w:proofErr w:type="spellStart"/>
      <w:r w:rsidRPr="00F72529">
        <w:rPr>
          <w:i/>
          <w:iCs/>
        </w:rPr>
        <w:t>Oscillospiraceae</w:t>
      </w:r>
      <w:proofErr w:type="spellEnd"/>
      <w:r>
        <w:t xml:space="preserve">, and </w:t>
      </w:r>
      <w:proofErr w:type="spellStart"/>
      <w:r w:rsidRPr="00F72529">
        <w:rPr>
          <w:i/>
          <w:iCs/>
        </w:rPr>
        <w:t>Bacteroidaceae</w:t>
      </w:r>
      <w:proofErr w:type="spellEnd"/>
      <w:r>
        <w:t xml:space="preserve"> in MICU validation samples.</w:t>
      </w:r>
    </w:p>
    <w:p w14:paraId="7A25EE6E" w14:textId="77777777" w:rsidR="00F72529" w:rsidRDefault="00F72529" w:rsidP="00F72529"/>
    <w:p w14:paraId="4E6A358B" w14:textId="71209F98" w:rsidR="00F72529" w:rsidRPr="00F72529" w:rsidRDefault="00F72529" w:rsidP="00F72529">
      <w:pPr>
        <w:rPr>
          <w:i/>
          <w:iCs/>
        </w:rPr>
      </w:pPr>
      <w:r w:rsidRPr="00F72529">
        <w:rPr>
          <w:b/>
          <w:bCs/>
        </w:rPr>
        <w:t>Table S9. Univariate Cox regression for all metabolites and SOFA score.</w:t>
      </w:r>
      <w:r>
        <w:t xml:space="preserve"> Cox proportional hazards regression results for each metabolite and SOFA score, adjusted for age, sex, and BMI.</w:t>
      </w:r>
    </w:p>
    <w:p w14:paraId="7AC2F58A" w14:textId="63EA6CD5" w:rsidR="00F72529" w:rsidRDefault="00F72529">
      <w:r>
        <w:br w:type="page"/>
      </w:r>
    </w:p>
    <w:p w14:paraId="6A9DD393" w14:textId="25A36926" w:rsidR="00A62A2B" w:rsidRDefault="00A62A2B" w:rsidP="00A62A2B">
      <w:pPr>
        <w:pStyle w:val="Heading2"/>
      </w:pPr>
      <w:r>
        <w:lastRenderedPageBreak/>
        <w:t>Supplementary Figures</w:t>
      </w:r>
    </w:p>
    <w:p w14:paraId="0A7AB044" w14:textId="77777777" w:rsidR="00A62A2B" w:rsidRDefault="00A62A2B" w:rsidP="00A62A2B"/>
    <w:p w14:paraId="79A5962B" w14:textId="771CE5C9" w:rsidR="00A62A2B" w:rsidRDefault="00A62A2B">
      <w:r>
        <w:rPr>
          <w:noProof/>
        </w:rPr>
        <w:drawing>
          <wp:inline distT="0" distB="0" distL="0" distR="0" wp14:anchorId="2AA83EB1" wp14:editId="4262B415">
            <wp:extent cx="5486400" cy="3657600"/>
            <wp:effectExtent l="0" t="0" r="0" b="0"/>
            <wp:docPr id="1217914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4428" name="Picture 1217914428"/>
                    <pic:cNvPicPr/>
                  </pic:nvPicPr>
                  <pic:blipFill>
                    <a:blip r:embed="rId5"/>
                    <a:stretch>
                      <a:fillRect/>
                    </a:stretch>
                  </pic:blipFill>
                  <pic:spPr>
                    <a:xfrm>
                      <a:off x="0" y="0"/>
                      <a:ext cx="5486400" cy="3657600"/>
                    </a:xfrm>
                    <a:prstGeom prst="rect">
                      <a:avLst/>
                    </a:prstGeom>
                  </pic:spPr>
                </pic:pic>
              </a:graphicData>
            </a:graphic>
          </wp:inline>
        </w:drawing>
      </w:r>
    </w:p>
    <w:p w14:paraId="737EE575" w14:textId="1021DBB4" w:rsidR="00A367B2" w:rsidRDefault="00A367B2">
      <w:r w:rsidRPr="00A367B2">
        <w:rPr>
          <w:b/>
          <w:bCs/>
        </w:rPr>
        <w:t>Figure S</w:t>
      </w:r>
      <w:r w:rsidR="004C370D">
        <w:rPr>
          <w:b/>
          <w:bCs/>
        </w:rPr>
        <w:t>1</w:t>
      </w:r>
      <w:r w:rsidRPr="00A367B2">
        <w:rPr>
          <w:b/>
          <w:bCs/>
        </w:rPr>
        <w:t>. Diversity metrics and feature importance</w:t>
      </w:r>
      <w:r>
        <w:t xml:space="preserve">. (a) Correlation between Shannon diversity and Inverse Simpson diversity across all samples. </w:t>
      </w:r>
    </w:p>
    <w:p w14:paraId="54073D8F" w14:textId="77777777" w:rsidR="00126DDC" w:rsidRDefault="00126DDC"/>
    <w:p w14:paraId="30DC25B5" w14:textId="77777777" w:rsidR="00126DDC" w:rsidRDefault="00126DDC">
      <w:r>
        <w:br w:type="page"/>
      </w:r>
    </w:p>
    <w:p w14:paraId="315445F9" w14:textId="73DE43CE" w:rsidR="00A367B2" w:rsidRDefault="00126DDC">
      <w:r>
        <w:rPr>
          <w:noProof/>
        </w:rPr>
        <w:lastRenderedPageBreak/>
        <w:drawing>
          <wp:inline distT="0" distB="0" distL="0" distR="0" wp14:anchorId="3C061867" wp14:editId="4C9C7257">
            <wp:extent cx="4993241" cy="7489861"/>
            <wp:effectExtent l="0" t="0" r="0" b="3175"/>
            <wp:docPr id="63991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1063" name="Picture 63991063"/>
                    <pic:cNvPicPr/>
                  </pic:nvPicPr>
                  <pic:blipFill>
                    <a:blip r:embed="rId6"/>
                    <a:stretch>
                      <a:fillRect/>
                    </a:stretch>
                  </pic:blipFill>
                  <pic:spPr>
                    <a:xfrm>
                      <a:off x="0" y="0"/>
                      <a:ext cx="5041446" cy="7562169"/>
                    </a:xfrm>
                    <a:prstGeom prst="rect">
                      <a:avLst/>
                    </a:prstGeom>
                  </pic:spPr>
                </pic:pic>
              </a:graphicData>
            </a:graphic>
          </wp:inline>
        </w:drawing>
      </w:r>
    </w:p>
    <w:p w14:paraId="6B42A1B2" w14:textId="77777777" w:rsidR="00126DDC" w:rsidRDefault="00126DDC"/>
    <w:p w14:paraId="593040BB" w14:textId="57950D7F" w:rsidR="00A367B2" w:rsidRDefault="00A367B2">
      <w:r w:rsidRPr="00A367B2">
        <w:rPr>
          <w:b/>
          <w:bCs/>
        </w:rPr>
        <w:t>Figure S</w:t>
      </w:r>
      <w:r w:rsidR="004C370D">
        <w:rPr>
          <w:b/>
          <w:bCs/>
        </w:rPr>
        <w:t>2</w:t>
      </w:r>
      <w:r w:rsidRPr="00A367B2">
        <w:rPr>
          <w:b/>
          <w:bCs/>
        </w:rPr>
        <w:t>. Feature importances for diversity prediction.</w:t>
      </w:r>
      <w:r>
        <w:t xml:space="preserve"> Scaled permutation importance and spearman correlation (all 62 metabolites) for prediction of Shannon diversity in plasma.</w:t>
      </w:r>
    </w:p>
    <w:p w14:paraId="78FA6263" w14:textId="694AD29C" w:rsidR="00126DDC" w:rsidRDefault="00126DDC">
      <w:pPr>
        <w:rPr>
          <w:b/>
          <w:bCs/>
        </w:rPr>
      </w:pPr>
      <w:r>
        <w:lastRenderedPageBreak/>
        <w:t>(a)</w:t>
      </w:r>
      <w:r>
        <w:rPr>
          <w:b/>
          <w:bCs/>
          <w:noProof/>
        </w:rPr>
        <w:drawing>
          <wp:inline distT="0" distB="0" distL="0" distR="0" wp14:anchorId="481324D8" wp14:editId="0BA64C38">
            <wp:extent cx="5486400" cy="7837805"/>
            <wp:effectExtent l="0" t="0" r="0" b="0"/>
            <wp:docPr id="1573190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0274" name="Picture 1573190274"/>
                    <pic:cNvPicPr/>
                  </pic:nvPicPr>
                  <pic:blipFill>
                    <a:blip r:embed="rId7"/>
                    <a:stretch>
                      <a:fillRect/>
                    </a:stretch>
                  </pic:blipFill>
                  <pic:spPr>
                    <a:xfrm>
                      <a:off x="0" y="0"/>
                      <a:ext cx="5486400" cy="7837805"/>
                    </a:xfrm>
                    <a:prstGeom prst="rect">
                      <a:avLst/>
                    </a:prstGeom>
                  </pic:spPr>
                </pic:pic>
              </a:graphicData>
            </a:graphic>
          </wp:inline>
        </w:drawing>
      </w:r>
    </w:p>
    <w:p w14:paraId="341B2362" w14:textId="77777777" w:rsidR="00126DDC" w:rsidRDefault="00126DDC">
      <w:pPr>
        <w:rPr>
          <w:b/>
          <w:bCs/>
        </w:rPr>
      </w:pPr>
    </w:p>
    <w:p w14:paraId="15FBEBD3" w14:textId="77777777" w:rsidR="00126DDC" w:rsidRDefault="00126DDC">
      <w:pPr>
        <w:rPr>
          <w:b/>
          <w:bCs/>
        </w:rPr>
      </w:pPr>
    </w:p>
    <w:p w14:paraId="22B90FA1" w14:textId="5B01EC97" w:rsidR="00126DDC" w:rsidRPr="00126DDC" w:rsidRDefault="00126DDC">
      <w:r w:rsidRPr="00126DDC">
        <w:t>(b)</w:t>
      </w:r>
    </w:p>
    <w:p w14:paraId="17EDB3FF" w14:textId="65C59B1B" w:rsidR="00126DDC" w:rsidRDefault="00126DDC">
      <w:pPr>
        <w:rPr>
          <w:b/>
          <w:bCs/>
        </w:rPr>
      </w:pPr>
      <w:r>
        <w:rPr>
          <w:b/>
          <w:bCs/>
          <w:noProof/>
        </w:rPr>
        <w:drawing>
          <wp:inline distT="0" distB="0" distL="0" distR="0" wp14:anchorId="68DC55D7" wp14:editId="4D7CBCAB">
            <wp:extent cx="5486400" cy="4114800"/>
            <wp:effectExtent l="0" t="0" r="0" b="0"/>
            <wp:docPr id="1417031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31298" name="Picture 1417031298"/>
                    <pic:cNvPicPr/>
                  </pic:nvPicPr>
                  <pic:blipFill>
                    <a:blip r:embed="rId8"/>
                    <a:stretch>
                      <a:fillRect/>
                    </a:stretch>
                  </pic:blipFill>
                  <pic:spPr>
                    <a:xfrm>
                      <a:off x="0" y="0"/>
                      <a:ext cx="5486400" cy="4114800"/>
                    </a:xfrm>
                    <a:prstGeom prst="rect">
                      <a:avLst/>
                    </a:prstGeom>
                  </pic:spPr>
                </pic:pic>
              </a:graphicData>
            </a:graphic>
          </wp:inline>
        </w:drawing>
      </w:r>
    </w:p>
    <w:p w14:paraId="6ABAF1FF" w14:textId="35A759A5" w:rsidR="00A367B2" w:rsidRDefault="00A367B2">
      <w:r w:rsidRPr="00A367B2">
        <w:rPr>
          <w:b/>
          <w:bCs/>
        </w:rPr>
        <w:t>Figure S</w:t>
      </w:r>
      <w:r w:rsidR="004C370D">
        <w:rPr>
          <w:b/>
          <w:bCs/>
        </w:rPr>
        <w:t>3</w:t>
      </w:r>
      <w:r w:rsidRPr="00A367B2">
        <w:rPr>
          <w:b/>
          <w:bCs/>
        </w:rPr>
        <w:t>. Bacterial family prediction across all taxa</w:t>
      </w:r>
      <w:r>
        <w:t>. (a) Classification performance (AUC) for all bacterial families evaluated, plotted against prevalence in the AML discovery cohort. (b) Feature importance heatmap showing scaled permutation importance across all bacterial families (columns) and metabolites (rows). Direction is decided based on Cliff’s delta; intensity indicates scaled permutation importance; rows and columns clustered using hierarchical clustering.</w:t>
      </w:r>
    </w:p>
    <w:p w14:paraId="3BF175BA" w14:textId="77777777" w:rsidR="00A367B2" w:rsidRDefault="00A367B2"/>
    <w:p w14:paraId="5FAC623C" w14:textId="79CEBC9D" w:rsidR="00126DDC" w:rsidRDefault="00126DDC">
      <w:r>
        <w:rPr>
          <w:noProof/>
        </w:rPr>
        <w:lastRenderedPageBreak/>
        <w:drawing>
          <wp:inline distT="0" distB="0" distL="0" distR="0" wp14:anchorId="0B26D5CA" wp14:editId="38A71494">
            <wp:extent cx="5486400" cy="3840480"/>
            <wp:effectExtent l="0" t="0" r="0" b="0"/>
            <wp:docPr id="133728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8058" name="Picture 133728058"/>
                    <pic:cNvPicPr/>
                  </pic:nvPicPr>
                  <pic:blipFill>
                    <a:blip r:embed="rId9"/>
                    <a:stretch>
                      <a:fillRect/>
                    </a:stretch>
                  </pic:blipFill>
                  <pic:spPr>
                    <a:xfrm>
                      <a:off x="0" y="0"/>
                      <a:ext cx="5486400" cy="3840480"/>
                    </a:xfrm>
                    <a:prstGeom prst="rect">
                      <a:avLst/>
                    </a:prstGeom>
                  </pic:spPr>
                </pic:pic>
              </a:graphicData>
            </a:graphic>
          </wp:inline>
        </w:drawing>
      </w:r>
    </w:p>
    <w:p w14:paraId="681A0AAA" w14:textId="77777777" w:rsidR="00126DDC" w:rsidRDefault="00126DDC">
      <w:pPr>
        <w:rPr>
          <w:b/>
          <w:bCs/>
        </w:rPr>
      </w:pPr>
    </w:p>
    <w:p w14:paraId="2187B483" w14:textId="1E0825FD" w:rsidR="00A367B2" w:rsidRDefault="00A367B2">
      <w:r w:rsidRPr="00A367B2">
        <w:rPr>
          <w:b/>
          <w:bCs/>
        </w:rPr>
        <w:t>Figure S</w:t>
      </w:r>
      <w:r w:rsidR="004C370D">
        <w:rPr>
          <w:b/>
          <w:bCs/>
        </w:rPr>
        <w:t>4</w:t>
      </w:r>
      <w:r w:rsidRPr="00A367B2">
        <w:rPr>
          <w:b/>
          <w:bCs/>
        </w:rPr>
        <w:t xml:space="preserve">. Metabolite distributions by MICU mortality. </w:t>
      </w:r>
      <w:r>
        <w:t>Plasma concentrations of the 8-metabolite panel stratified by survival status in MICU validation cohort. Boxplots show median and interquartile range; individual samples shown as points. P-values from Wilcoxon rank-sum test.</w:t>
      </w:r>
    </w:p>
    <w:sectPr w:rsidR="00A367B2" w:rsidSect="009851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98A"/>
    <w:rsid w:val="00126DDC"/>
    <w:rsid w:val="001C69FC"/>
    <w:rsid w:val="00250183"/>
    <w:rsid w:val="004C370D"/>
    <w:rsid w:val="004F7A58"/>
    <w:rsid w:val="009851F4"/>
    <w:rsid w:val="00A367B2"/>
    <w:rsid w:val="00A62A2B"/>
    <w:rsid w:val="00BE298A"/>
    <w:rsid w:val="00F725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378A1FC"/>
  <w14:defaultImageDpi w14:val="300"/>
  <w15:docId w15:val="{EF5D7E9B-8A7B-084D-AF2D-F3B9F2C6E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A2B"/>
    <w:rPr>
      <w:rFonts w:ascii="Times New Roman" w:eastAsia="Times New Roman" w:hAnsi="Times New Roman" w:cs="Times New Roman"/>
    </w:rPr>
  </w:style>
  <w:style w:type="paragraph" w:styleId="Heading1">
    <w:name w:val="heading 1"/>
    <w:basedOn w:val="Normal"/>
    <w:next w:val="Normal"/>
    <w:link w:val="Heading1Char"/>
    <w:uiPriority w:val="9"/>
    <w:qFormat/>
    <w:rsid w:val="00A62A2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62A2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A2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semiHidden/>
    <w:unhideWhenUsed/>
    <w:rsid w:val="00A62A2B"/>
    <w:rPr>
      <w:color w:val="0000FF"/>
      <w:u w:val="single"/>
    </w:rPr>
  </w:style>
  <w:style w:type="character" w:customStyle="1" w:styleId="Heading2Char">
    <w:name w:val="Heading 2 Char"/>
    <w:basedOn w:val="DefaultParagraphFont"/>
    <w:link w:val="Heading2"/>
    <w:uiPriority w:val="9"/>
    <w:rsid w:val="00A62A2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webSettings" Target="webSettings.xml"/><Relationship Id="rId7" Type="http://schemas.openxmlformats.org/officeDocument/2006/relationships/image" Target="media/image3.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hyperlink" Target="mailto:egpamer@bsd.uchicago.edu" TargetMode="Externa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Ramaswamy, Ramanujam [BSD]</cp:lastModifiedBy>
  <cp:revision>3</cp:revision>
  <dcterms:created xsi:type="dcterms:W3CDTF">2014-01-14T12:04:00Z</dcterms:created>
  <dcterms:modified xsi:type="dcterms:W3CDTF">2026-02-18T16:07:00Z</dcterms:modified>
</cp:coreProperties>
</file>