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推荐书目书籍资料：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1. 《人工智能 第2版》，林赐译，2018，人民邮电出版社，ISBN：9787115488435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2. 《计算机视觉：原理 算法 应用及学习》，袁春 刘婧译，2020，机械工业出版社，ISBN：9787111664796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《数据挖掘导论》，范明等译，2021，人民邮电出版社，ISBN：9787115241009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4. 《动手深度学习》，李沐等，2019，人民邮电出版社，ISBN：9787115490841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5.《青少年Python编程入门》左利鑫，史卫亚 ，2019，人民邮电出版社，ISBN：9787115510143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6 《从无限运算力到无限想象力：设计人工智能概览》范凌 著，2019年，同济大学出版社，ISBN： 9787560885209 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7. 《人工智能通识讲义》李楠 秦建军 李宇翔 朱丽萍 等著，2022年6月，机械工业出版社，ISBN：9787111704966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8. 《人人可懂的深度学习》约翰·D.凯莱赫(JohnD.Kelleher)，2020年5月，机械工业出版社，ISBN: 9787111680109</w:t>
      </w:r>
      <w:bookmarkStart w:id="0" w:name="_GoBack"/>
      <w:bookmarkEnd w:id="0"/>
    </w:p>
    <w:p>
      <w:pPr>
        <w:rPr>
          <w:rFonts w:ascii="宋体" w:eastAsia="宋体" w:hint="eastAsia"/>
          <w:sz w:val="32"/>
          <w:szCs w:val="32"/>
        </w:rPr>
      </w:pP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网络资料：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1. 李宏毅老师机器学习课程：https://speech.ee.ntu.edu.tw/~hylee/ml/2021-spring.php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2. 李沐老师动手深度学习课程：https://courses.d2l.ai/zh-v2/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斯坦福大学 自然语言处理在线课程：http://web.stanford.edu/class/cs224n/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4. 斯坦福大学 计算机视觉在线课程：http://cs231n.stanford.edu/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5.高中生适合的Python编程语言学习： https://www.bilibili.com/video/BV1qg41197nC?spm_id_from=333.337.search-card.all.click 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6. 高中生人工智能入门：https://www.bilibili.com/video/BV1XB4y187Kz?spm_id_from=333.337.search-card.all.click 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7. 高中生计算机视觉/深度学习实践：https://www.bilibili.com/video/BV12L411T7G5?spm_id_from=333.337.search-card.all.click 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8.人工智能：科普中国网，https://www2.kepuchina.cn/qykj/rgzn/index_1.shtml</w:t>
      </w:r>
    </w:p>
    <w:p>
      <w:pPr>
        <w:rPr>
          <w:rFonts w:ascii="宋体" w:eastAsia="宋体" w:hint="eastAsia"/>
          <w:sz w:val="32"/>
          <w:szCs w:val="32"/>
        </w:rPr>
      </w:pP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pdf学习资料：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南京大学周志华，《如何做研究，如何写论文》，2005年9月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等线" w:cs="Arial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51</TotalTime>
  <Application>Yozo_Office27021597764231179</Application>
  <Pages>2</Pages>
  <Words>441</Words>
  <Characters>1075</Characters>
  <Lines>43</Lines>
  <Paragraphs>20</Paragraphs>
  <CharactersWithSpaces>1107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聂 娅</dc:creator>
  <cp:lastModifiedBy>user</cp:lastModifiedBy>
  <cp:revision>9</cp:revision>
  <dcterms:created xsi:type="dcterms:W3CDTF">2022-08-03T01:52:00Z</dcterms:created>
  <dcterms:modified xsi:type="dcterms:W3CDTF">2022-08-10T06:10:01Z</dcterms:modified>
</cp:coreProperties>
</file>