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股票分析报告</w:t>
      </w:r>
    </w:p>
    <w:p>
      <w:pPr>
        <w:jc w:val="center"/>
      </w:pPr>
      <w:r>
        <w:rPr>
          <w:sz w:val="24"/>
        </w:rPr>
        <w:t xml:space="preserve">报告日期: </w:t>
      </w:r>
      <w:r>
        <w:rPr/>
        <w:t>2026年04月12日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000001</w:t>
            </w:r>
          </w:p>
        </w:tc>
      </w:tr>
      <w:tr>
        <w:tc>
          <w:tcPr>
            <w:tcW w:type="dxa" w:w="4320"/>
          </w:tcPr>
          <w:p>
            <w:r>
              <w:t>股票名称</w:t>
            </w:r>
          </w:p>
        </w:tc>
        <w:tc>
          <w:tcPr>
            <w:tcW w:type="dxa" w:w="4320"/>
          </w:tcPr>
          <w:p>
            <w:r>
              <w:t>测试股票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2026-04-12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二、交易数据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开盘价</w:t>
            </w:r>
          </w:p>
        </w:tc>
        <w:tc>
          <w:tcPr>
            <w:tcW w:type="dxa" w:w="4320"/>
          </w:tcPr>
          <w:p>
            <w:r>
              <w:t>11.40</w:t>
            </w:r>
            <w:r>
              <w:t xml:space="preserve"> 元</w:t>
            </w:r>
          </w:p>
        </w:tc>
      </w:tr>
      <w:tr>
        <w:tc>
          <w:tcPr>
            <w:tcW w:type="dxa" w:w="4320"/>
          </w:tcPr>
          <w:p>
            <w:r>
              <w:t>最高价</w:t>
            </w:r>
          </w:p>
        </w:tc>
        <w:tc>
          <w:tcPr>
            <w:tcW w:type="dxa" w:w="4320"/>
          </w:tcPr>
          <w:p>
            <w:r>
              <w:t>11.55</w:t>
            </w:r>
            <w:r>
              <w:t xml:space="preserve"> 元</w:t>
            </w:r>
          </w:p>
        </w:tc>
      </w:tr>
      <w:tr>
        <w:tc>
          <w:tcPr>
            <w:tcW w:type="dxa" w:w="4320"/>
          </w:tcPr>
          <w:p>
            <w:r>
              <w:t>最低价</w:t>
            </w:r>
          </w:p>
        </w:tc>
        <w:tc>
          <w:tcPr>
            <w:tcW w:type="dxa" w:w="4320"/>
          </w:tcPr>
          <w:p>
            <w:r>
              <w:t>11.35</w:t>
            </w:r>
            <w:r>
              <w:t xml:space="preserve"> 元</w:t>
            </w:r>
          </w:p>
        </w:tc>
      </w:tr>
      <w:tr>
        <w:tc>
          <w:tcPr>
            <w:tcW w:type="dxa" w:w="4320"/>
          </w:tcPr>
          <w:p>
            <w:r>
              <w:t>收盘价</w:t>
            </w:r>
          </w:p>
        </w:tc>
        <w:tc>
          <w:tcPr>
            <w:tcW w:type="dxa" w:w="4320"/>
          </w:tcPr>
          <w:p>
            <w:r>
              <w:t>11.48</w:t>
            </w:r>
            <w:r>
              <w:t xml:space="preserve"> 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19,500,000</w:t>
            </w:r>
            <w:r>
              <w:t xml:space="preserve"> 股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223,860,000.00</w:t>
            </w:r>
            <w:r>
              <w:t xml:space="preserve"> 元</w:t>
            </w:r>
          </w:p>
        </w:tc>
      </w:tr>
    </w:tbl>
    <w:p/>
    <w:p>
      <w:pPr>
        <w:pStyle w:val="Heading1"/>
      </w:pPr>
      <w:r>
        <w:t>三、技术指标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0.95</w:t>
            </w:r>
            <w:r>
              <w:t xml:space="preserve"> %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1.40</w:t>
            </w:r>
            <w:r>
              <w:t xml:space="preserve"> %</w:t>
            </w:r>
          </w:p>
        </w:tc>
      </w:tr>
      <w:tr>
        <w:tc>
          <w:tcPr>
            <w:tcW w:type="dxa" w:w="4320"/>
          </w:tcPr>
          <w:p>
            <w:r>
              <w:t>MA5</w:t>
            </w:r>
          </w:p>
        </w:tc>
        <w:tc>
          <w:tcPr>
            <w:tcW w:type="dxa" w:w="4320"/>
          </w:tcPr>
          <w:p>
            <w:r>
              <w:t>11.28</w:t>
            </w:r>
            <w:r>
              <w:t xml:space="preserve"> 元</w:t>
            </w:r>
          </w:p>
        </w:tc>
      </w:tr>
      <w:tr>
        <w:tc>
          <w:tcPr>
            <w:tcW w:type="dxa" w:w="4320"/>
          </w:tcPr>
          <w:p>
            <w:r>
              <w:t>MA10</w:t>
            </w:r>
          </w:p>
        </w:tc>
        <w:tc>
          <w:tcPr>
            <w:tcW w:type="dxa" w:w="4320"/>
          </w:tcPr>
          <w:p>
            <w:r>
              <w:t>11.03</w:t>
            </w:r>
            <w:r>
              <w:t xml:space="preserve"> 元</w:t>
            </w:r>
          </w:p>
        </w:tc>
      </w:tr>
      <w:tr>
        <w:tc>
          <w:tcPr>
            <w:tcW w:type="dxa" w:w="4320"/>
          </w:tcPr>
          <w:p>
            <w:r>
              <w:t>MA20</w:t>
            </w:r>
          </w:p>
        </w:tc>
        <w:tc>
          <w:tcPr>
            <w:tcW w:type="dxa" w:w="4320"/>
          </w:tcPr>
          <w:p>
            <w:r>
              <w:t>nan</w:t>
            </w:r>
            <w:r>
              <w:t xml:space="preserve"> 元</w:t>
            </w:r>
          </w:p>
        </w:tc>
      </w:tr>
    </w:tbl>
    <w:p/>
    <w:p>
      <w:pPr>
        <w:pStyle w:val="Heading1"/>
      </w:pPr>
      <w:r>
        <w:t>四、分析结论</w:t>
      </w:r>
    </w:p>
    <w:p>
      <w:r>
        <w:t>根据对{stock_name}（股票代码：{stock_code}）的技术分析，当前收盘价为 {close} 元，换手率为 {turnover_rate}%。</w:t>
      </w:r>
    </w:p>
    <w:p/>
    <w:p>
      <w:r>
        <w:t>注：本报告由程序自动生成。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