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When running the code an error is found on lines 42, 27, and 4</w:t>
      </w:r>
    </w:p>
    <w:p w:rsidR="00000000" w:rsidDel="00000000" w:rsidP="00000000" w:rsidRDefault="00000000" w:rsidRPr="00000000" w14:paraId="00000002">
      <w:pPr>
        <w:rPr/>
      </w:pPr>
      <w:r w:rsidDel="00000000" w:rsidR="00000000" w:rsidRPr="00000000">
        <w:rPr>
          <w:rtl w:val="0"/>
        </w:rPr>
        <w:t xml:space="preserve">The error is a TypeError and debugging software explains that an non-int variable is attempting to be used in a multiplication formula resulting in an error in the previously stated lines.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order to fix this error the variables in the products table had to be reviewed to identify if any variables were initialized incorrectly. After reviewing the variables it was found that the price variable for the Tablet in the products table was being initialized as a string instead of an int. Because of this when the price and discount_rate variables were passed into the calculate_discount() function an error occurred because the function attempted to multiply an int by and string. To fix this the price for the tablet simply had to be initialized correctly by removing the quotation marks around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prevent errors such as this from happening again a try loop was implemented in the code. If a TypeError occurs again the try loop prevent the code from erroring out and provide us with which product in the product data set is causing the error so it can be reviewed for errors effectively.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4267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381625" cy="48863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81625" cy="48863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