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F33"/>
          <w:sz w:val="38"/>
        </w:rPr>
        <w:t>REQUEST FOR NVIDIA DGX A100 ACCESS</w:t>
      </w:r>
    </w:p>
    <w:p>
      <w:pPr>
        <w:spacing w:before="0" w:after="120"/>
      </w:pPr>
      <w:r>
        <w:rPr>
          <w:rFonts w:ascii="Calibri" w:hAnsi="Calibri"/>
          <w:b/>
          <w:i w:val="0"/>
          <w:color w:val="1E5FB0"/>
          <w:sz w:val="27"/>
        </w:rPr>
        <w:t>VoxShield: Real-time AI Voice-Clone Detection for Indian Banking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6FB"/>
          </w:tcPr>
          <w:p>
            <w:pPr>
              <w:spacing w:after="40"/>
            </w:pPr>
            <w:r>
              <w:rPr>
                <w:b/>
                <w:color w:val="334E68"/>
                <w:sz w:val="20"/>
              </w:rPr>
              <w:t>Team DigiSeva  ·  SRM Institute of Science &amp; Technology</w:t>
              <w:br/>
            </w:r>
            <w:r>
              <w:rPr>
                <w:b w:val="0"/>
                <w:color w:val="334E68"/>
                <w:sz w:val="20"/>
              </w:rPr>
              <w:t>PSB Hackathon (UCO Bank · Punjab &amp; Sind Bank · IIT Kharagpur), Problem Statement PS2</w:t>
              <w:br/>
            </w:r>
            <w:r>
              <w:rPr>
                <w:b w:val="0"/>
                <w:color w:val="334E68"/>
                <w:sz w:val="20"/>
              </w:rPr>
              <w:t>Also positioned for Smart India Hackathon (SIH) and productisation.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A6B7B"/>
          <w:sz w:val="19"/>
        </w:rPr>
        <w:t>To:  The Head of Department [Dept] · AI/DL Lab In-charge · Faculty Mentor [Name]      |      Date: [DD Month 2026]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1.  </w:t>
      </w:r>
      <w:r>
        <w:rPr>
          <w:b/>
          <w:color w:val="0B1F33"/>
          <w:sz w:val="26"/>
        </w:rPr>
        <w:t>Executive Summary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1E1E"/>
          <w:sz w:val="21"/>
        </w:rPr>
        <w:t>We respectfully request access to the institute's NVIDIA DGX A100 to train and fine-tune the models behind VoxShield, a real-time AI voice-clone detection system for Indian banking. VoxShield is already a working system (TRL-5); the requested compute will let us scale it from ten to all twenty-two scheduled Indian languages, harden it against adversarial attacks, and prepare a certified, reproducible build for the PSB Hackathon, Smart India Hackathon, and subsequent productisation. We seek a modest, scheduled allocation on the shared DGX partition over three months, under faculty mentorship, using only public datasets.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2.  </w:t>
      </w:r>
      <w:r>
        <w:rPr>
          <w:b/>
          <w:color w:val="0B1F33"/>
          <w:sz w:val="26"/>
        </w:rPr>
        <w:t>The Project, VoxShield (a working system, TRL-5)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E1E"/>
          <w:sz w:val="21"/>
        </w:rPr>
        <w:t>VoxShield is a defence-in-depth architecture, not a single model: five decorrelated detectors fused by a learned meta-stacker, a fairness layer measured on Indian languages, and a challenge-response liveness check. All figures below are measured on held-out data.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Detection: </w:t>
      </w:r>
      <w:r>
        <w:rPr>
          <w:color w:val="1E1E1E"/>
          <w:sz w:val="21"/>
        </w:rPr>
        <w:t>5.9% equal-error-rate on held-out In-the-Wild data, 0.983 ROC-AUC, ~94% accuracy, approximately 3x better than the best single model (XLS-R 300M at 16.0% EER).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Fairness: </w:t>
      </w:r>
      <w:r>
        <w:rPr>
          <w:color w:val="1E1E1E"/>
          <w:sz w:val="21"/>
        </w:rPr>
        <w:t>false-positives on genuine Indian-language speech reduced from 36.3% (English-only) to 6.3% via Indic-aware retraining and channel-aware thresholds, measured across ten Indian languages (IndicVoices).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Indic recall: </w:t>
      </w:r>
      <w:r>
        <w:rPr>
          <w:color w:val="1E1E1E"/>
          <w:sz w:val="21"/>
        </w:rPr>
        <w:t>Indian-language voice-clone recall lifted from 42% to 82% with a language-routed Indic-aware detector.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Liveness: </w:t>
      </w:r>
      <w:r>
        <w:rPr>
          <w:color w:val="1E1E1E"/>
          <w:sz w:val="21"/>
        </w:rPr>
        <w:t>a random spoken-digit challenge (content + liveness + timing) that defeats replay attacks.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Digital Arrest Shield: </w:t>
      </w:r>
      <w:r>
        <w:rPr>
          <w:color w:val="1E1E1E"/>
          <w:sz w:val="21"/>
        </w:rPr>
        <w:t>fuses the clone score with scam-intent read from a Hindi / Hinglish / English transcript.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Streaming: </w:t>
      </w:r>
      <w:r>
        <w:rPr>
          <w:color w:val="1E1E1E"/>
          <w:sz w:val="21"/>
        </w:rPr>
        <w:t>flags a fraud call in 3.0 seconds, well inside a 10-second target.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Deployment: </w:t>
      </w:r>
      <w:r>
        <w:rPr>
          <w:color w:val="1E1E1E"/>
          <w:sz w:val="21"/>
        </w:rPr>
        <w:t>on-premise / air-gapped (Docker, models baked in), SHA-256 audit trail, and it never auto-blocks, high risk routes to step-up verification.</w:t>
      </w:r>
    </w:p>
    <w:p>
      <w:pPr>
        <w:spacing w:before="40" w:after="100"/>
      </w:pPr>
      <w:r>
        <w:rPr>
          <w:rFonts w:ascii="Calibri" w:hAnsi="Calibri"/>
          <w:b w:val="0"/>
          <w:i/>
          <w:color w:val="334E68"/>
          <w:sz w:val="19"/>
        </w:rPr>
        <w:t>Stack: Python, FastAPI, PyTorch, HuggingFace Transformers (wav2vec2 / XLS-R 300M / DistilHuBERT), Whisper and faster-whisper ASR, ECAPA speaker embeddings, and Silero VAD. Trained on ASVspoof 2019 LA, WaveFake, CodecFake, In-the-Wild, IndicVoices, and synthesised MMS-TTS / VITS Indic deepfakes.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3.  </w:t>
      </w:r>
      <w:r>
        <w:rPr>
          <w:b/>
          <w:color w:val="0B1F33"/>
          <w:sz w:val="26"/>
        </w:rPr>
        <w:t>Product &amp; Future Potential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E1E"/>
          <w:sz w:val="21"/>
        </w:rPr>
        <w:t>VoxShield is positioned as a deployable product, not a class project.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Beachhead &amp; reach: </w:t>
      </w:r>
      <w:r>
        <w:rPr>
          <w:color w:val="1E1E1E"/>
          <w:sz w:val="21"/>
        </w:rPr>
        <w:t>banking fraud desks, phone banking, IVR, UPI / voice-authorised payments, KYC. The same drop-in REST API extends to government helplines, telecom anti-vishing, insurance, healthcare, legal forensics and contact centres, twelve sectors in all.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Business model: </w:t>
      </w:r>
      <w:r>
        <w:rPr>
          <w:color w:val="1E1E1E"/>
          <w:sz w:val="21"/>
        </w:rPr>
        <w:t>enterprise SaaS, usage-based API, on-premise licensing, government and banking contracts, and OEM / white-label.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National relevance: </w:t>
      </w:r>
      <w:r>
        <w:rPr>
          <w:color w:val="1E1E1E"/>
          <w:sz w:val="21"/>
        </w:rPr>
        <w:t>India's voice-first banking reaches hundreds of millions across languages and feature phones, and voice-cloning fraud such as digital-arrest scams is a growing threat. This aligns directly with Smart India Hackathon themes in cybersecurity, fintech and Digital India.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Roadmap that needs the DGX: </w:t>
      </w:r>
      <w:r>
        <w:rPr>
          <w:color w:val="1E1E1E"/>
          <w:sz w:val="21"/>
        </w:rPr>
        <w:t>fine-tuning across all twenty-two scheduled Indian languages, continual learning for new voice generators, source attribution, and adversarial-robust training (Malafide / Malacopula-class attacks), each requiring the DGX.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4.  </w:t>
      </w:r>
      <w:r>
        <w:rPr>
          <w:b/>
          <w:color w:val="0B1F33"/>
          <w:sz w:val="26"/>
        </w:rPr>
        <w:t>Why the NVIDIA DGX A100, Planned Workloads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E1E"/>
          <w:sz w:val="21"/>
        </w:rPr>
        <w:t>The DGX A100 (8x A100 Tensor-Core GPUs, 320 GB total VRAM, NVIDIA Ampere) is the right tool for four GPU-bound workloads: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1)  </w:t>
      </w:r>
      <w:r>
        <w:rPr>
          <w:color w:val="1E1E1E"/>
          <w:sz w:val="21"/>
        </w:rPr>
        <w:t>fine-tuning XLS-R 300M and AASIST-L deepfake detectors across ten to twenty-two Indian languages, using large-batch, mixed-precision, multi-GPU data-parallel training.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2)  </w:t>
      </w:r>
      <w:r>
        <w:rPr>
          <w:color w:val="1E1E1E"/>
          <w:sz w:val="21"/>
        </w:rPr>
        <w:t>large-scale synthetic Indic deepfake generation (VITS / MMS-TTS), thousands of clips in parallel to build a balanced training corpus.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3)  </w:t>
      </w:r>
      <w:r>
        <w:rPr>
          <w:color w:val="1E1E1E"/>
          <w:sz w:val="21"/>
        </w:rPr>
        <w:t>adversarial-robust training and continual-learning experiments that are GPU-heavy and impractical on rented single GPUs.</w:t>
      </w:r>
    </w:p>
    <w:p>
      <w:pPr>
        <w:pStyle w:val="ListBullet"/>
        <w:spacing w:after="60"/>
      </w:pPr>
      <w:r>
        <w:rPr>
          <w:b/>
          <w:color w:val="1E1E1E"/>
          <w:sz w:val="21"/>
        </w:rPr>
        <w:t xml:space="preserve">4)  </w:t>
      </w:r>
      <w:r>
        <w:rPr>
          <w:color w:val="1E1E1E"/>
          <w:sz w:val="21"/>
        </w:rPr>
        <w:t>retraining the full five-model ensemble and meta-stacker with honest held-out cross-dataset evaluation, in hours instead of days.</w:t>
      </w:r>
    </w:p>
    <w:p>
      <w:pPr>
        <w:spacing w:before="40" w:after="100"/>
      </w:pPr>
      <w:r>
        <w:rPr>
          <w:rFonts w:ascii="Calibri" w:hAnsi="Calibri"/>
          <w:b w:val="0"/>
          <w:i/>
          <w:color w:val="334E68"/>
          <w:sz w:val="19"/>
        </w:rPr>
        <w:t>Current constraint: the team presently rents single cloud GPUs and runs CPU inference on an 8 GB machine, which bottlenecks iteration ahead of the hackathon deadline.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5.  </w:t>
      </w:r>
      <w:r>
        <w:rPr>
          <w:b/>
          <w:color w:val="0B1F33"/>
          <w:sz w:val="26"/>
        </w:rPr>
        <w:t>Resource Request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1E1E1E"/>
          <w:sz w:val="21"/>
        </w:rPr>
        <w:t>We make a modest, specific request in keeping with shared-lab etiquette: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488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Requested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Compute</w:t>
            </w:r>
          </w:p>
        </w:tc>
        <w:tc>
          <w:tcPr>
            <w:tcW w:type="dxa" w:w="7488"/>
          </w:tcPr>
          <w:p>
            <w:pPr>
              <w:spacing w:after="20"/>
            </w:pPr>
            <w:r>
              <w:rPr>
                <w:sz w:val="18"/>
              </w:rPr>
              <w:t>2-4x NVIDIA A100 GPUs (40 GB or 80 GB), DGX A100 shared partition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20"/>
            </w:pPr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7488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3 months (phased plan in Section 6)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Storage</w:t>
            </w:r>
          </w:p>
        </w:tc>
        <w:tc>
          <w:tcPr>
            <w:tcW w:type="dxa" w:w="7488"/>
          </w:tcPr>
          <w:p>
            <w:pPr>
              <w:spacing w:after="20"/>
            </w:pPr>
            <w:r>
              <w:rPr>
                <w:sz w:val="18"/>
              </w:rPr>
              <w:t>~500 GB scratch space for datasets and model checkpoints</w:t>
            </w:r>
          </w:p>
        </w:tc>
      </w:tr>
      <w:tr>
        <w:tc>
          <w:tcPr>
            <w:tcW w:type="dxa" w:w="2160"/>
            <w:shd w:val="clear" w:fill="EEF3F9"/>
          </w:tcPr>
          <w:p>
            <w:pPr>
              <w:spacing w:after="20"/>
            </w:pPr>
            <w:r>
              <w:rPr>
                <w:b/>
                <w:sz w:val="18"/>
              </w:rPr>
              <w:t>Access method</w:t>
            </w:r>
          </w:p>
        </w:tc>
        <w:tc>
          <w:tcPr>
            <w:tcW w:type="dxa" w:w="7488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Key-based SSH to the DGX node, or Slurm batch partition / JupyterHub, whichever the lab prefers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7488"/>
          </w:tcPr>
          <w:p>
            <w:pPr>
              <w:spacing w:after="20"/>
            </w:pPr>
            <w:r>
              <w:rPr>
                <w:sz w:val="18"/>
              </w:rPr>
              <w:t>PyTorch, CUDA, HuggingFace; containerised via the lab's NGC / Docker images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libri" w:hAnsi="Calibri"/>
          <w:b/>
          <w:i w:val="0"/>
          <w:color w:val="1E1E1E"/>
          <w:sz w:val="19"/>
        </w:rPr>
        <w:t>Server / hostname, SSH endpoint and account provisioning as assigned by the lab in-charge, we will supply our public SSH key and abide by all lab usage and scheduling policies.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6.  </w:t>
      </w:r>
      <w:r>
        <w:rPr>
          <w:b/>
          <w:color w:val="0B1F33"/>
          <w:sz w:val="26"/>
        </w:rPr>
        <w:t>Three-Month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5616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2736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8"/>
              </w:rPr>
              <w:t>Month 1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8"/>
              </w:rPr>
              <w:t>Environment setup, dataset staging, baseline reproduction, Indic fine-tune (10 languages)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8"/>
              </w:rPr>
              <w:t>Reproduced 5.9% EER and improved Indic recall</w:t>
            </w:r>
          </w:p>
        </w:tc>
      </w:tr>
      <w:tr>
        <w:tc>
          <w:tcPr>
            <w:tcW w:type="dxa" w:w="1296"/>
            <w:shd w:val="clear" w:fill="EEF3F9"/>
          </w:tcPr>
          <w:p>
            <w:pPr>
              <w:spacing w:after="20"/>
            </w:pPr>
            <w:r>
              <w:rPr>
                <w:b/>
                <w:sz w:val="18"/>
              </w:rPr>
              <w:t>Month 2</w:t>
            </w:r>
          </w:p>
        </w:tc>
        <w:tc>
          <w:tcPr>
            <w:tcW w:type="dxa" w:w="561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Scale to all 22 languages, synthetic Indic deepfake corpus, channel-aware fairness re-runs</w:t>
            </w:r>
          </w:p>
        </w:tc>
        <w:tc>
          <w:tcPr>
            <w:tcW w:type="dxa" w:w="273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Published per-language fairness report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>
              <w:rPr>
                <w:b/>
                <w:sz w:val="18"/>
              </w:rPr>
              <w:t>Month 3</w:t>
            </w:r>
          </w:p>
        </w:tc>
        <w:tc>
          <w:tcPr>
            <w:tcW w:type="dxa" w:w="5616"/>
          </w:tcPr>
          <w:p>
            <w:pPr>
              <w:spacing w:after="20"/>
            </w:pPr>
            <w:r>
              <w:rPr>
                <w:sz w:val="18"/>
              </w:rPr>
              <w:t>Adversarial-robust training, source attribution, final held-out evaluation, hackathon / SIH build + model card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8"/>
              </w:rPr>
              <w:t>Certified, reproducible results</w:t>
            </w:r>
          </w:p>
        </w:tc>
      </w:tr>
    </w:tbl>
    <w:p>
      <w:pPr>
        <w:spacing w:after="40"/>
      </w:pP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7.  </w:t>
      </w:r>
      <w:r>
        <w:rPr>
          <w:b/>
          <w:color w:val="0B1F33"/>
          <w:sz w:val="26"/>
        </w:rPr>
        <w:t>Data, Security &amp; Governance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E1E1E"/>
          <w:sz w:val="21"/>
        </w:rPr>
        <w:t>VoxShield uses only public datasets. Raw audio is SHA-256 hashed and no personal data is stored. All work will comply with lab usage policy and scheduling. The institution and the AI/DL Lab will be acknowledged in our hackathon submission and in any resulting publication.</w:t>
      </w:r>
    </w:p>
    <w:p>
      <w:pPr>
        <w:spacing w:before="240" w:after="60"/>
        <w:pBdr>
          <w:bottom w:val="single" w:sz="6" w:space="3" w:color="C7D6E6"/>
        </w:pBdr>
      </w:pPr>
      <w:r>
        <w:rPr>
          <w:b/>
          <w:color w:val="1E5FB0"/>
          <w:sz w:val="26"/>
        </w:rPr>
        <w:t xml:space="preserve">8.  </w:t>
      </w:r>
      <w:r>
        <w:rPr>
          <w:b/>
          <w:color w:val="0B1F33"/>
          <w:sz w:val="26"/>
        </w:rPr>
        <w:t>Expected Outcomes &amp; Request</w:t>
      </w:r>
    </w:p>
    <w:p>
      <w:pPr>
        <w:pStyle w:val="ListBullet"/>
        <w:spacing w:after="60"/>
      </w:pPr>
      <w:r>
        <w:rPr>
          <w:color w:val="1E1E1E"/>
          <w:sz w:val="21"/>
        </w:rPr>
        <w:t>a hackathon- and SIH-ready, reproducible, deployable system.</w:t>
      </w:r>
    </w:p>
    <w:p>
      <w:pPr>
        <w:pStyle w:val="ListBullet"/>
        <w:spacing w:after="60"/>
      </w:pPr>
      <w:r>
        <w:rPr>
          <w:color w:val="1E1E1E"/>
          <w:sz w:val="21"/>
        </w:rPr>
        <w:t>a possible research publication on Indic anti-spoofing and fairness.</w:t>
      </w:r>
    </w:p>
    <w:p>
      <w:pPr>
        <w:pStyle w:val="ListBullet"/>
        <w:spacing w:after="60"/>
      </w:pPr>
      <w:r>
        <w:rPr>
          <w:color w:val="1E1E1E"/>
          <w:sz w:val="21"/>
        </w:rPr>
        <w:t>a reusable Indian-language anti-spoofing asset that remains with the lab.</w:t>
      </w:r>
    </w:p>
    <w:p>
      <w:pPr>
        <w:spacing w:before="60" w:after="100"/>
      </w:pPr>
      <w:r>
        <w:rPr>
          <w:rFonts w:ascii="Calibri" w:hAnsi="Calibri"/>
          <w:b w:val="0"/>
          <w:i w:val="0"/>
          <w:color w:val="1E1E1E"/>
          <w:sz w:val="21"/>
        </w:rPr>
        <w:t>We would be grateful if the Head of Department could guide the process and connect our team with the AI/DL Lab in-charge, under faculty mentorship. We are happy to present the working system on request and to adhere to any conditions the lab specifies.</w:t>
      </w:r>
    </w:p>
    <w:p>
      <w:pPr>
        <w:spacing w:after="120"/>
      </w:pPr>
    </w:p>
    <w:p>
      <w:pPr>
        <w:spacing w:before="80" w:after="160"/>
      </w:pPr>
      <w:r>
        <w:rPr>
          <w:rFonts w:ascii="Calibri" w:hAnsi="Calibri"/>
          <w:b w:val="0"/>
          <w:i w:val="0"/>
          <w:color w:val="1E1E1E"/>
          <w:sz w:val="21"/>
        </w:rPr>
        <w:t>Respectfully submitted,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Team DigiSeva, Member</w:t>
            </w:r>
          </w:p>
        </w:tc>
        <w:tc>
          <w:tcPr>
            <w:tcW w:type="dxa" w:w="2016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Reg. No.</w:t>
            </w:r>
          </w:p>
        </w:tc>
        <w:tc>
          <w:tcPr>
            <w:tcW w:type="dxa" w:w="2736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Department / Year</w:t>
            </w:r>
          </w:p>
        </w:tc>
        <w:tc>
          <w:tcPr>
            <w:tcW w:type="dxa" w:w="1728"/>
            <w:shd w:val="clear" w:fill="0B1F33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b/>
                <w:sz w:val="18"/>
              </w:rPr>
              <w:t>[Name 1]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[Reg. No.]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8"/>
              </w:rPr>
              <w:t>[Dept / Year]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fill="EEF3F9"/>
          </w:tcPr>
          <w:p>
            <w:pPr>
              <w:spacing w:after="20"/>
            </w:pPr>
            <w:r>
              <w:rPr>
                <w:b/>
                <w:sz w:val="18"/>
              </w:rPr>
              <w:t>[Name 2]</w:t>
            </w:r>
          </w:p>
        </w:tc>
        <w:tc>
          <w:tcPr>
            <w:tcW w:type="dxa" w:w="201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[Reg. No.]</w:t>
            </w:r>
          </w:p>
        </w:tc>
        <w:tc>
          <w:tcPr>
            <w:tcW w:type="dxa" w:w="273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[Dept / Year]</w:t>
            </w:r>
          </w:p>
        </w:tc>
        <w:tc>
          <w:tcPr>
            <w:tcW w:type="dxa" w:w="1728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168"/>
          </w:tcPr>
          <w:p>
            <w:pPr>
              <w:spacing w:after="20"/>
            </w:pPr>
            <w:r>
              <w:rPr>
                <w:b/>
                <w:sz w:val="18"/>
              </w:rPr>
              <w:t>[Name 3]</w:t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sz w:val="18"/>
              </w:rPr>
              <w:t>[Reg. No.]</w:t>
            </w:r>
          </w:p>
        </w:tc>
        <w:tc>
          <w:tcPr>
            <w:tcW w:type="dxa" w:w="2736"/>
          </w:tcPr>
          <w:p>
            <w:pPr>
              <w:spacing w:after="20"/>
            </w:pPr>
            <w:r>
              <w:rPr>
                <w:sz w:val="18"/>
              </w:rPr>
              <w:t>[Dept / Year]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3168"/>
            <w:shd w:val="clear" w:fill="EEF3F9"/>
          </w:tcPr>
          <w:p>
            <w:pPr>
              <w:spacing w:after="20"/>
            </w:pPr>
            <w:r>
              <w:rPr>
                <w:b/>
                <w:sz w:val="18"/>
              </w:rPr>
              <w:t>[Name 4]</w:t>
            </w:r>
          </w:p>
        </w:tc>
        <w:tc>
          <w:tcPr>
            <w:tcW w:type="dxa" w:w="201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[Reg. No.]</w:t>
            </w:r>
          </w:p>
        </w:tc>
        <w:tc>
          <w:tcPr>
            <w:tcW w:type="dxa" w:w="2736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  <w:t>[Dept / Year]</w:t>
            </w:r>
          </w:p>
        </w:tc>
        <w:tc>
          <w:tcPr>
            <w:tcW w:type="dxa" w:w="1728"/>
            <w:shd w:val="clear" w:fill="EEF3F9"/>
          </w:tcPr>
          <w:p>
            <w:pPr>
              <w:spacing w:after="20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80" w:after="100"/>
      </w:pPr>
      <w:r>
        <w:rPr>
          <w:rFonts w:ascii="Calibri" w:hAnsi="Calibri"/>
          <w:b w:val="0"/>
          <w:i w:val="0"/>
          <w:color w:val="1E1E1E"/>
          <w:sz w:val="20"/>
        </w:rPr>
        <w:t>Faculty Guide: [Name, Designation] ____________________________        Date: [DD Month 2026]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