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6B" w:rsidRPr="00CB3B33" w:rsidRDefault="009415C8" w:rsidP="009415C8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B3B33">
        <w:rPr>
          <w:rFonts w:ascii="Times New Roman" w:hAnsi="Times New Roman" w:cs="Times New Roman"/>
          <w:b/>
          <w:color w:val="0070C0"/>
          <w:sz w:val="28"/>
          <w:szCs w:val="28"/>
        </w:rPr>
        <w:t>MCS Advisor Competition</w:t>
      </w:r>
    </w:p>
    <w:p w:rsidR="009415C8" w:rsidRDefault="009415C8" w:rsidP="00941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5C8" w:rsidRDefault="009415C8" w:rsidP="009415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5C8">
        <w:rPr>
          <w:rFonts w:ascii="Times New Roman" w:hAnsi="Times New Roman" w:cs="Times New Roman"/>
          <w:sz w:val="24"/>
          <w:szCs w:val="24"/>
        </w:rPr>
        <w:t>Plannin</w:t>
      </w:r>
      <w:bookmarkStart w:id="0" w:name="_GoBack"/>
      <w:bookmarkEnd w:id="0"/>
      <w:r w:rsidRPr="009415C8">
        <w:rPr>
          <w:rFonts w:ascii="Times New Roman" w:hAnsi="Times New Roman" w:cs="Times New Roman"/>
          <w:sz w:val="24"/>
          <w:szCs w:val="24"/>
        </w:rPr>
        <w:t>g the future is tough</w:t>
      </w:r>
      <w:r>
        <w:rPr>
          <w:rFonts w:ascii="Times New Roman" w:hAnsi="Times New Roman" w:cs="Times New Roman"/>
          <w:sz w:val="24"/>
          <w:szCs w:val="24"/>
        </w:rPr>
        <w:t xml:space="preserve"> and there is a particular challenge when planning your academic course schedule for future semesters. We believe the department already has the talent</w:t>
      </w:r>
      <w:r w:rsidR="002A6D5F">
        <w:rPr>
          <w:rFonts w:ascii="Times New Roman" w:hAnsi="Times New Roman" w:cs="Times New Roman"/>
          <w:sz w:val="24"/>
          <w:szCs w:val="24"/>
        </w:rPr>
        <w:t xml:space="preserve"> and expertise</w:t>
      </w:r>
      <w:r>
        <w:rPr>
          <w:rFonts w:ascii="Times New Roman" w:hAnsi="Times New Roman" w:cs="Times New Roman"/>
          <w:sz w:val="24"/>
          <w:szCs w:val="24"/>
        </w:rPr>
        <w:t xml:space="preserve"> to produce a useful tool that will help our students figure out options for their future schedules. We would like to announce the MCS Advisor contest. </w:t>
      </w:r>
    </w:p>
    <w:p w:rsidR="009415C8" w:rsidRDefault="009415C8" w:rsidP="00941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5C8" w:rsidRDefault="009415C8" w:rsidP="00941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is to create an advising tool that will take inputs of the degree requirements, the course offering schedule, and a list of the courses a student has completed along with the grades for each course. The output should be a potential class selection for future semesters along with any relevant recommendations that will help keep students on schedule and also adhere to the requirements of general education. </w:t>
      </w:r>
    </w:p>
    <w:p w:rsidR="009415C8" w:rsidRDefault="009415C8" w:rsidP="00941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5C8" w:rsidRDefault="009415C8" w:rsidP="00941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Judging criteria:</w:t>
      </w:r>
    </w:p>
    <w:p w:rsidR="009415C8" w:rsidRDefault="009415C8" w:rsidP="00941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5C8" w:rsidRDefault="009415C8" w:rsidP="009415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must be easy to use and easy to maintain</w:t>
      </w:r>
      <w:r w:rsidR="004770AF">
        <w:rPr>
          <w:rFonts w:ascii="Times New Roman" w:hAnsi="Times New Roman" w:cs="Times New Roman"/>
          <w:sz w:val="24"/>
          <w:szCs w:val="24"/>
        </w:rPr>
        <w:t>.</w:t>
      </w:r>
    </w:p>
    <w:p w:rsidR="009415C8" w:rsidRDefault="009415C8" w:rsidP="009415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should be clear, concise, and accurate to the requirements to the degree</w:t>
      </w:r>
      <w:r w:rsidR="004770AF">
        <w:rPr>
          <w:rFonts w:ascii="Times New Roman" w:hAnsi="Times New Roman" w:cs="Times New Roman"/>
          <w:sz w:val="24"/>
          <w:szCs w:val="24"/>
        </w:rPr>
        <w:t>.</w:t>
      </w:r>
    </w:p>
    <w:p w:rsidR="009415C8" w:rsidRDefault="004770AF" w:rsidP="009415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should check the general education requirements are completed within the first 64 credits (with the exception of ENGL 289). A student should be half done with the general education within the first 32 credits. The program should provide accurate guidance regarding the restriction that a student must have two different prefixes for Goal 3 and two prefixes for course in Goal 4 (Goal 4 does have the exception of foreign language and a student can take two of the same prefix if it is the same prefix). </w:t>
      </w:r>
    </w:p>
    <w:p w:rsidR="004770AF" w:rsidRDefault="004770AF" w:rsidP="009415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should be flexible so that the changes in degree requirements and changes in schedule offering can be made into the inputs and be properly accommodated in the output.</w:t>
      </w:r>
    </w:p>
    <w:p w:rsidR="004770AF" w:rsidRDefault="004770AF" w:rsidP="009415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should be well documented so it is clear how to change the inputs to have the desired results in the output. </w:t>
      </w:r>
    </w:p>
    <w:p w:rsidR="00CB3B33" w:rsidRDefault="00CB3B33" w:rsidP="009415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should be able to incorporate what a student has completed combined with the courses they are currently taking in order to build potential future schedules. </w:t>
      </w:r>
    </w:p>
    <w:p w:rsidR="004770AF" w:rsidRDefault="00E66A87" w:rsidP="009415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bonus consideration is given to a program that can proper advise double majors in math and computer science. </w:t>
      </w:r>
    </w:p>
    <w:p w:rsidR="00E66A87" w:rsidRDefault="00E66A87" w:rsidP="00E66A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6A87" w:rsidRDefault="00E66A87" w:rsidP="00E66A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committee will be comprised of: Department Head, CS faculty member, Math faculty member, CSR student, CS student, and a Math student. </w:t>
      </w:r>
    </w:p>
    <w:p w:rsidR="00E66A87" w:rsidRDefault="00E66A87" w:rsidP="00E66A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6A87" w:rsidRDefault="00E66A87" w:rsidP="00E66A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is close of business (4:30 pm Mountain) on </w:t>
      </w:r>
      <w:r w:rsidR="00CB3B33">
        <w:rPr>
          <w:rFonts w:ascii="Times New Roman" w:hAnsi="Times New Roman" w:cs="Times New Roman"/>
          <w:b/>
          <w:sz w:val="24"/>
          <w:szCs w:val="24"/>
        </w:rPr>
        <w:t>XXXX</w:t>
      </w:r>
      <w:r>
        <w:rPr>
          <w:rFonts w:ascii="Times New Roman" w:hAnsi="Times New Roman" w:cs="Times New Roman"/>
          <w:sz w:val="24"/>
          <w:szCs w:val="24"/>
        </w:rPr>
        <w:t>. Grand prize is $500</w:t>
      </w:r>
      <w:r w:rsidR="00A542C9">
        <w:rPr>
          <w:rFonts w:ascii="Times New Roman" w:hAnsi="Times New Roman" w:cs="Times New Roman"/>
          <w:sz w:val="24"/>
          <w:szCs w:val="24"/>
        </w:rPr>
        <w:t xml:space="preserve"> for a program the department can deploy</w:t>
      </w:r>
      <w:r>
        <w:rPr>
          <w:rFonts w:ascii="Times New Roman" w:hAnsi="Times New Roman" w:cs="Times New Roman"/>
          <w:sz w:val="24"/>
          <w:szCs w:val="24"/>
        </w:rPr>
        <w:t>, Second Place = $200, and $100 Third Place.</w:t>
      </w:r>
    </w:p>
    <w:p w:rsidR="00E66A87" w:rsidRDefault="00E66A87" w:rsidP="00E66A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6A87" w:rsidRDefault="00E66A87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3061"/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8"/>
        <w:gridCol w:w="1877"/>
      </w:tblGrid>
      <w:tr w:rsidR="00E66A87" w:rsidTr="00B7572B">
        <w:trPr>
          <w:trHeight w:val="354"/>
        </w:trPr>
        <w:tc>
          <w:tcPr>
            <w:tcW w:w="6948" w:type="dxa"/>
            <w:shd w:val="clear" w:color="auto" w:fill="CCCCCC"/>
          </w:tcPr>
          <w:p w:rsidR="00E66A87" w:rsidRDefault="00E66A87" w:rsidP="00B7572B">
            <w:pPr>
              <w:pStyle w:val="Heading1"/>
            </w:pPr>
            <w:r>
              <w:lastRenderedPageBreak/>
              <w:t xml:space="preserve">                                     OUTCOMES</w:t>
            </w:r>
          </w:p>
        </w:tc>
        <w:tc>
          <w:tcPr>
            <w:tcW w:w="1877" w:type="dxa"/>
            <w:shd w:val="clear" w:color="auto" w:fill="CCCCCC"/>
          </w:tcPr>
          <w:p w:rsidR="00E66A87" w:rsidRDefault="00E66A87" w:rsidP="00B7572B">
            <w:pPr>
              <w:pStyle w:val="Heading1"/>
            </w:pPr>
            <w:r>
              <w:t>EVALUATION</w:t>
            </w:r>
          </w:p>
        </w:tc>
      </w:tr>
      <w:tr w:rsidR="00E66A87" w:rsidTr="00E02A86">
        <w:trPr>
          <w:trHeight w:val="1254"/>
        </w:trPr>
        <w:tc>
          <w:tcPr>
            <w:tcW w:w="6948" w:type="dxa"/>
          </w:tcPr>
          <w:p w:rsidR="00E66A87" w:rsidRDefault="00E66A87" w:rsidP="00E66A87">
            <w:pPr>
              <w:pStyle w:val="BodyText"/>
              <w:framePr w:hSpace="0" w:wrap="auto" w:hAnchor="text" w:yAlign="inline"/>
              <w:numPr>
                <w:ilvl w:val="0"/>
                <w:numId w:val="11"/>
              </w:numPr>
            </w:pPr>
            <w:r>
              <w:t>Easy to use</w:t>
            </w:r>
          </w:p>
          <w:p w:rsidR="00E66A87" w:rsidRPr="00E66A87" w:rsidRDefault="00A542C9" w:rsidP="00E66A87">
            <w:pPr>
              <w:pStyle w:val="BodyText"/>
              <w:framePr w:hSpace="0" w:wrap="auto" w:hAnchor="text" w:yAlign="inline"/>
              <w:numPr>
                <w:ilvl w:val="0"/>
                <w:numId w:val="12"/>
              </w:numPr>
            </w:pPr>
            <w:r>
              <w:rPr>
                <w:b w:val="0"/>
              </w:rPr>
              <w:t>So easy a freshmen student can use the software</w:t>
            </w:r>
            <w:r w:rsidR="00E66A87">
              <w:rPr>
                <w:b w:val="0"/>
              </w:rPr>
              <w:t>?</w:t>
            </w:r>
          </w:p>
          <w:p w:rsidR="00E66A87" w:rsidRPr="00E66A87" w:rsidRDefault="00A542C9" w:rsidP="00E66A87">
            <w:pPr>
              <w:pStyle w:val="BodyText"/>
              <w:framePr w:hSpace="0" w:wrap="auto" w:hAnchor="text" w:yAlign="inline"/>
              <w:numPr>
                <w:ilvl w:val="0"/>
                <w:numId w:val="12"/>
              </w:numPr>
            </w:pPr>
            <w:r>
              <w:rPr>
                <w:b w:val="0"/>
              </w:rPr>
              <w:t xml:space="preserve">So easy that </w:t>
            </w:r>
            <w:r w:rsidR="00E66A87">
              <w:rPr>
                <w:b w:val="0"/>
              </w:rPr>
              <w:t xml:space="preserve">faculty </w:t>
            </w:r>
            <w:r>
              <w:rPr>
                <w:b w:val="0"/>
              </w:rPr>
              <w:t xml:space="preserve">can </w:t>
            </w:r>
            <w:r w:rsidR="00E66A87">
              <w:rPr>
                <w:b w:val="0"/>
              </w:rPr>
              <w:t>use it?</w:t>
            </w:r>
          </w:p>
          <w:p w:rsidR="00E66A87" w:rsidRDefault="00A542C9" w:rsidP="00E66A87">
            <w:pPr>
              <w:pStyle w:val="BodyText"/>
              <w:framePr w:hSpace="0" w:wrap="auto" w:hAnchor="text" w:yAlign="inline"/>
              <w:numPr>
                <w:ilvl w:val="0"/>
                <w:numId w:val="12"/>
              </w:numPr>
            </w:pPr>
            <w:r>
              <w:rPr>
                <w:b w:val="0"/>
              </w:rPr>
              <w:t xml:space="preserve">So easy that </w:t>
            </w:r>
            <w:r w:rsidR="00E66A87">
              <w:rPr>
                <w:b w:val="0"/>
              </w:rPr>
              <w:t>the Department Head and staff use it?</w:t>
            </w:r>
          </w:p>
          <w:p w:rsidR="00E66A87" w:rsidRDefault="00E66A87" w:rsidP="00E66A87">
            <w:pPr>
              <w:spacing w:after="0" w:line="240" w:lineRule="auto"/>
              <w:ind w:left="720"/>
              <w:rPr>
                <w:sz w:val="18"/>
              </w:rPr>
            </w:pPr>
          </w:p>
        </w:tc>
        <w:tc>
          <w:tcPr>
            <w:tcW w:w="1877" w:type="dxa"/>
          </w:tcPr>
          <w:p w:rsidR="00E66A87" w:rsidRDefault="00E66A87" w:rsidP="00E66A87">
            <w:pPr>
              <w:jc w:val="center"/>
            </w:pPr>
            <w:r>
              <w:t>/20 pts</w:t>
            </w:r>
            <w:r w:rsidR="009D666C">
              <w:t>.</w:t>
            </w:r>
          </w:p>
        </w:tc>
      </w:tr>
      <w:tr w:rsidR="00E66A87" w:rsidTr="004E5E07">
        <w:trPr>
          <w:trHeight w:val="1136"/>
        </w:trPr>
        <w:tc>
          <w:tcPr>
            <w:tcW w:w="6948" w:type="dxa"/>
          </w:tcPr>
          <w:p w:rsidR="00E66A87" w:rsidRDefault="00E66A87" w:rsidP="00E66A87">
            <w:pPr>
              <w:pStyle w:val="BodyText"/>
              <w:framePr w:hSpace="0" w:wrap="auto" w:hAnchor="text" w:yAlign="inline"/>
              <w:numPr>
                <w:ilvl w:val="0"/>
                <w:numId w:val="10"/>
              </w:numPr>
            </w:pPr>
            <w:r>
              <w:t>Easy to maintain</w:t>
            </w:r>
          </w:p>
          <w:p w:rsidR="00E66A87" w:rsidRDefault="00E66A87" w:rsidP="00B7572B">
            <w:pPr>
              <w:pStyle w:val="BodyText"/>
              <w:framePr w:hSpace="0" w:wrap="auto" w:hAnchor="text" w:yAlign="inline"/>
              <w:ind w:left="360"/>
            </w:pPr>
          </w:p>
          <w:p w:rsidR="00E66A87" w:rsidRDefault="00E66A87" w:rsidP="00E66A87">
            <w:pPr>
              <w:numPr>
                <w:ilvl w:val="0"/>
                <w:numId w:val="3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Simple structure</w:t>
            </w:r>
          </w:p>
          <w:p w:rsidR="00E66A87" w:rsidRDefault="00E66A87" w:rsidP="00E66A87">
            <w:pPr>
              <w:numPr>
                <w:ilvl w:val="0"/>
                <w:numId w:val="3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Easy to maintain</w:t>
            </w:r>
          </w:p>
          <w:p w:rsidR="00E66A87" w:rsidRDefault="00E66A87" w:rsidP="00E66A87">
            <w:pPr>
              <w:numPr>
                <w:ilvl w:val="0"/>
                <w:numId w:val="3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Easy to modify if requirements or scheduling changes</w:t>
            </w:r>
          </w:p>
        </w:tc>
        <w:tc>
          <w:tcPr>
            <w:tcW w:w="1877" w:type="dxa"/>
          </w:tcPr>
          <w:p w:rsidR="00E66A87" w:rsidRDefault="00E66A87" w:rsidP="00B7572B">
            <w:pPr>
              <w:jc w:val="center"/>
            </w:pPr>
            <w:r>
              <w:t>/30 pts.</w:t>
            </w:r>
          </w:p>
        </w:tc>
      </w:tr>
      <w:tr w:rsidR="00E66A87" w:rsidTr="00132B9D">
        <w:trPr>
          <w:trHeight w:val="1110"/>
        </w:trPr>
        <w:tc>
          <w:tcPr>
            <w:tcW w:w="6948" w:type="dxa"/>
          </w:tcPr>
          <w:p w:rsidR="00E66A87" w:rsidRDefault="00E66A87" w:rsidP="00B7572B">
            <w:pPr>
              <w:pStyle w:val="BodyText"/>
              <w:framePr w:hSpace="0" w:wrap="auto" w:hAnchor="text" w:yAlign="inline"/>
              <w:numPr>
                <w:ilvl w:val="0"/>
                <w:numId w:val="9"/>
              </w:numPr>
              <w:tabs>
                <w:tab w:val="clear" w:pos="720"/>
              </w:tabs>
              <w:ind w:left="0" w:firstLine="360"/>
            </w:pPr>
            <w:r>
              <w:t>Properly check general education</w:t>
            </w:r>
          </w:p>
          <w:p w:rsidR="00E66A87" w:rsidRDefault="00E66A87" w:rsidP="00E66A87">
            <w:pPr>
              <w:numPr>
                <w:ilvl w:val="0"/>
                <w:numId w:val="4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Half done in first 32 credits</w:t>
            </w:r>
          </w:p>
          <w:p w:rsidR="00E66A87" w:rsidRDefault="00E66A87" w:rsidP="00E66A87">
            <w:pPr>
              <w:numPr>
                <w:ilvl w:val="0"/>
                <w:numId w:val="4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All but ENGL 289 done by 64 credits</w:t>
            </w:r>
          </w:p>
          <w:p w:rsidR="00A542C9" w:rsidRPr="00A542C9" w:rsidRDefault="009D666C" w:rsidP="00A542C9">
            <w:pPr>
              <w:numPr>
                <w:ilvl w:val="0"/>
                <w:numId w:val="5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Proper advise to help finish general education</w:t>
            </w:r>
          </w:p>
          <w:p w:rsidR="00E66A87" w:rsidRDefault="00E66A87" w:rsidP="00B7572B">
            <w:pPr>
              <w:rPr>
                <w:sz w:val="18"/>
              </w:rPr>
            </w:pPr>
          </w:p>
        </w:tc>
        <w:tc>
          <w:tcPr>
            <w:tcW w:w="1877" w:type="dxa"/>
          </w:tcPr>
          <w:p w:rsidR="00E66A87" w:rsidRDefault="009D666C" w:rsidP="00B7572B">
            <w:pPr>
              <w:jc w:val="center"/>
            </w:pPr>
            <w:r>
              <w:t>/10 pts.</w:t>
            </w:r>
          </w:p>
        </w:tc>
      </w:tr>
      <w:tr w:rsidR="009D666C" w:rsidTr="00642FBF">
        <w:trPr>
          <w:trHeight w:val="1057"/>
        </w:trPr>
        <w:tc>
          <w:tcPr>
            <w:tcW w:w="6948" w:type="dxa"/>
          </w:tcPr>
          <w:p w:rsidR="009D666C" w:rsidRPr="009D666C" w:rsidRDefault="009D666C" w:rsidP="00B7572B">
            <w:pPr>
              <w:pStyle w:val="BodyText"/>
              <w:framePr w:hSpace="0" w:wrap="auto" w:hAnchor="text" w:yAlign="inline"/>
              <w:numPr>
                <w:ilvl w:val="0"/>
                <w:numId w:val="9"/>
              </w:numPr>
            </w:pPr>
            <w:r>
              <w:t>Helps build a future semester plan</w:t>
            </w:r>
          </w:p>
          <w:p w:rsidR="009D666C" w:rsidRDefault="009D666C" w:rsidP="00E66A87">
            <w:pPr>
              <w:numPr>
                <w:ilvl w:val="0"/>
                <w:numId w:val="6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Provides help with planning future semesters based on current requirements, current offering schedule, and classes completed. </w:t>
            </w:r>
          </w:p>
          <w:p w:rsidR="009D666C" w:rsidRDefault="009D666C" w:rsidP="009D666C">
            <w:pPr>
              <w:numPr>
                <w:ilvl w:val="0"/>
                <w:numId w:val="6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Can plan multiple semesters with up to 4 </w:t>
            </w:r>
            <w:r w:rsidR="00A542C9">
              <w:rPr>
                <w:sz w:val="18"/>
              </w:rPr>
              <w:t xml:space="preserve">future </w:t>
            </w:r>
            <w:r>
              <w:rPr>
                <w:sz w:val="18"/>
              </w:rPr>
              <w:t>semesters.</w:t>
            </w:r>
          </w:p>
        </w:tc>
        <w:tc>
          <w:tcPr>
            <w:tcW w:w="1877" w:type="dxa"/>
          </w:tcPr>
          <w:p w:rsidR="009D666C" w:rsidRDefault="009D666C" w:rsidP="00B7572B">
            <w:pPr>
              <w:jc w:val="center"/>
            </w:pPr>
            <w:r>
              <w:t>/15 pts.</w:t>
            </w:r>
          </w:p>
        </w:tc>
      </w:tr>
      <w:tr w:rsidR="009D666C" w:rsidTr="00D364BC">
        <w:trPr>
          <w:trHeight w:val="1057"/>
        </w:trPr>
        <w:tc>
          <w:tcPr>
            <w:tcW w:w="6948" w:type="dxa"/>
          </w:tcPr>
          <w:p w:rsidR="009D666C" w:rsidRDefault="00A542C9" w:rsidP="00E66A87">
            <w:pPr>
              <w:pStyle w:val="BodyText"/>
              <w:framePr w:hSpace="0" w:wrap="auto" w:hAnchor="text" w:yAlign="inline"/>
              <w:numPr>
                <w:ilvl w:val="0"/>
                <w:numId w:val="9"/>
              </w:numPr>
            </w:pPr>
            <w:r>
              <w:t>Provides proper advic</w:t>
            </w:r>
            <w:r w:rsidR="009D666C">
              <w:t>e</w:t>
            </w:r>
          </w:p>
          <w:p w:rsidR="009D666C" w:rsidRDefault="009D666C" w:rsidP="00B7572B">
            <w:pPr>
              <w:pStyle w:val="BodyText"/>
              <w:framePr w:hSpace="0" w:wrap="auto" w:hAnchor="text" w:yAlign="inline"/>
              <w:ind w:left="360"/>
            </w:pPr>
          </w:p>
          <w:p w:rsidR="009D666C" w:rsidRDefault="009D666C" w:rsidP="009D666C">
            <w:pPr>
              <w:numPr>
                <w:ilvl w:val="0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Allows for priority attention for courses critical to the major</w:t>
            </w:r>
          </w:p>
          <w:p w:rsidR="009D666C" w:rsidRDefault="009D666C" w:rsidP="009D666C">
            <w:pPr>
              <w:numPr>
                <w:ilvl w:val="1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CSC has priority to CSC 300</w:t>
            </w:r>
          </w:p>
          <w:p w:rsidR="009D666C" w:rsidRDefault="009D666C" w:rsidP="009D666C">
            <w:pPr>
              <w:numPr>
                <w:ilvl w:val="1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Math needs CSC 251 as early as possible</w:t>
            </w:r>
          </w:p>
          <w:p w:rsidR="009D666C" w:rsidRDefault="009D666C" w:rsidP="009D666C">
            <w:pPr>
              <w:numPr>
                <w:ilvl w:val="1"/>
                <w:numId w:val="7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Chains in prerequisites in required courses forces students to take some courses at a particular time.</w:t>
            </w:r>
            <w:r w:rsidR="00A542C9">
              <w:rPr>
                <w:sz w:val="18"/>
              </w:rPr>
              <w:t xml:space="preserve"> For example, CSC 300 prerequisite to CSC 461 that is prerequisite to CSC 468. Students need to be </w:t>
            </w:r>
            <w:proofErr w:type="gramStart"/>
            <w:r w:rsidR="00A542C9">
              <w:rPr>
                <w:sz w:val="18"/>
              </w:rPr>
              <w:t>encourage</w:t>
            </w:r>
            <w:proofErr w:type="gramEnd"/>
            <w:r w:rsidR="00A542C9">
              <w:rPr>
                <w:sz w:val="18"/>
              </w:rPr>
              <w:t xml:space="preserve"> to take courses that belong in a chain.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7" w:type="dxa"/>
          </w:tcPr>
          <w:p w:rsidR="009D666C" w:rsidRDefault="009D666C" w:rsidP="00B7572B">
            <w:pPr>
              <w:jc w:val="center"/>
            </w:pPr>
            <w:r>
              <w:t>/17 pts.</w:t>
            </w:r>
          </w:p>
        </w:tc>
      </w:tr>
      <w:tr w:rsidR="009D666C" w:rsidTr="00D848C6">
        <w:trPr>
          <w:trHeight w:val="1242"/>
        </w:trPr>
        <w:tc>
          <w:tcPr>
            <w:tcW w:w="6948" w:type="dxa"/>
          </w:tcPr>
          <w:p w:rsidR="009D666C" w:rsidRPr="009D666C" w:rsidRDefault="009D666C" w:rsidP="00B7572B">
            <w:pPr>
              <w:pStyle w:val="BodyText"/>
              <w:framePr w:hSpace="0" w:wrap="auto" w:hAnchor="text" w:yAlign="inline"/>
              <w:numPr>
                <w:ilvl w:val="0"/>
                <w:numId w:val="9"/>
              </w:numPr>
            </w:pPr>
            <w:r>
              <w:t>Encourages student to meet with their advisor</w:t>
            </w:r>
          </w:p>
          <w:p w:rsidR="009D666C" w:rsidRDefault="009D666C" w:rsidP="00E66A87">
            <w:pPr>
              <w:numPr>
                <w:ilvl w:val="0"/>
                <w:numId w:val="6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This shouldn’t replace the advisor meeting; it should make the advisor meeting more meaningful. </w:t>
            </w:r>
          </w:p>
          <w:p w:rsidR="00A542C9" w:rsidRDefault="009D666C" w:rsidP="00E66A87">
            <w:pPr>
              <w:numPr>
                <w:ilvl w:val="0"/>
                <w:numId w:val="8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Software should be very clear this does not replace the meeting with the advisor and it should encourage students to meet with their advisor.</w:t>
            </w:r>
          </w:p>
          <w:p w:rsidR="009D666C" w:rsidRDefault="00A542C9" w:rsidP="00E66A87">
            <w:pPr>
              <w:numPr>
                <w:ilvl w:val="0"/>
                <w:numId w:val="8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Does this software motivate students to meet with their advisor?</w:t>
            </w:r>
            <w:r w:rsidR="009D666C">
              <w:rPr>
                <w:sz w:val="18"/>
              </w:rPr>
              <w:t xml:space="preserve"> </w:t>
            </w:r>
          </w:p>
          <w:p w:rsidR="009D666C" w:rsidRDefault="009D666C" w:rsidP="009D666C">
            <w:pPr>
              <w:spacing w:after="0" w:line="240" w:lineRule="auto"/>
              <w:ind w:left="720"/>
              <w:rPr>
                <w:sz w:val="18"/>
              </w:rPr>
            </w:pPr>
          </w:p>
        </w:tc>
        <w:tc>
          <w:tcPr>
            <w:tcW w:w="1877" w:type="dxa"/>
          </w:tcPr>
          <w:p w:rsidR="009D666C" w:rsidRDefault="009D666C" w:rsidP="009D666C">
            <w:pPr>
              <w:jc w:val="center"/>
            </w:pPr>
            <w:r>
              <w:t xml:space="preserve">/8 pts. </w:t>
            </w:r>
          </w:p>
        </w:tc>
      </w:tr>
      <w:tr w:rsidR="009D666C" w:rsidTr="00BE739B">
        <w:trPr>
          <w:trHeight w:val="192"/>
        </w:trPr>
        <w:tc>
          <w:tcPr>
            <w:tcW w:w="6948" w:type="dxa"/>
          </w:tcPr>
          <w:p w:rsidR="009D666C" w:rsidRDefault="009D666C" w:rsidP="00B7572B">
            <w:pPr>
              <w:pStyle w:val="Heading2"/>
              <w:framePr w:hSpace="0" w:wrap="auto" w:vAnchor="margin" w:hAnchor="text" w:yAlign="inline"/>
            </w:pPr>
            <w:r>
              <w:t>Overall Evaluation</w:t>
            </w:r>
          </w:p>
          <w:p w:rsidR="009D666C" w:rsidRDefault="009D666C" w:rsidP="00B7572B">
            <w:pPr>
              <w:rPr>
                <w:sz w:val="18"/>
              </w:rPr>
            </w:pPr>
          </w:p>
        </w:tc>
        <w:tc>
          <w:tcPr>
            <w:tcW w:w="1877" w:type="dxa"/>
          </w:tcPr>
          <w:p w:rsidR="009D666C" w:rsidRDefault="009D666C" w:rsidP="009D666C">
            <w:r>
              <w:t>Total     100 pts.</w:t>
            </w:r>
          </w:p>
        </w:tc>
      </w:tr>
      <w:tr w:rsidR="009D666C" w:rsidTr="00BE739B">
        <w:trPr>
          <w:trHeight w:val="192"/>
        </w:trPr>
        <w:tc>
          <w:tcPr>
            <w:tcW w:w="6948" w:type="dxa"/>
          </w:tcPr>
          <w:p w:rsidR="009D666C" w:rsidRDefault="00A542C9" w:rsidP="00B7572B">
            <w:pPr>
              <w:pStyle w:val="Heading2"/>
              <w:framePr w:hSpace="0" w:wrap="auto" w:vAnchor="margin" w:hAnchor="text" w:yAlign="inline"/>
            </w:pPr>
            <w:r>
              <w:t xml:space="preserve">Bonus consideration:  </w:t>
            </w:r>
            <w:r w:rsidR="009D666C">
              <w:t>Advise double majors</w:t>
            </w:r>
          </w:p>
        </w:tc>
        <w:tc>
          <w:tcPr>
            <w:tcW w:w="1877" w:type="dxa"/>
          </w:tcPr>
          <w:p w:rsidR="009D666C" w:rsidRDefault="009D666C" w:rsidP="00B7572B">
            <w:pPr>
              <w:jc w:val="center"/>
            </w:pPr>
            <w:r>
              <w:t>/15 pts.</w:t>
            </w:r>
          </w:p>
        </w:tc>
      </w:tr>
    </w:tbl>
    <w:p w:rsidR="00CB3B33" w:rsidRDefault="00CB3B33" w:rsidP="00E66A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3B33" w:rsidRDefault="00CB3B33" w:rsidP="00CB3B33">
      <w:pPr>
        <w:rPr>
          <w:rFonts w:ascii="Times New Roman" w:hAnsi="Times New Roman" w:cs="Times New Roman"/>
          <w:sz w:val="24"/>
          <w:szCs w:val="24"/>
        </w:rPr>
      </w:pPr>
    </w:p>
    <w:p w:rsidR="00E66A87" w:rsidRPr="00CB3B33" w:rsidRDefault="00CB3B33" w:rsidP="00CB3B33">
      <w:pPr>
        <w:tabs>
          <w:tab w:val="left" w:pos="277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3B33">
        <w:rPr>
          <w:rFonts w:ascii="Times New Roman" w:hAnsi="Times New Roman" w:cs="Times New Roman"/>
          <w:b/>
          <w:sz w:val="28"/>
          <w:szCs w:val="28"/>
        </w:rPr>
        <w:t>Evaluation Rubric</w:t>
      </w:r>
    </w:p>
    <w:sectPr w:rsidR="00E66A87" w:rsidRPr="00CB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115"/>
    <w:multiLevelType w:val="hybridMultilevel"/>
    <w:tmpl w:val="F4EC9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E7344"/>
    <w:multiLevelType w:val="hybridMultilevel"/>
    <w:tmpl w:val="3CAE2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74200E"/>
    <w:multiLevelType w:val="hybridMultilevel"/>
    <w:tmpl w:val="C966C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B20BD"/>
    <w:multiLevelType w:val="hybridMultilevel"/>
    <w:tmpl w:val="672C9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91352C"/>
    <w:multiLevelType w:val="hybridMultilevel"/>
    <w:tmpl w:val="206E9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CE631C"/>
    <w:multiLevelType w:val="hybridMultilevel"/>
    <w:tmpl w:val="E5C09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F62E53"/>
    <w:multiLevelType w:val="hybridMultilevel"/>
    <w:tmpl w:val="C7C671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65000C6B"/>
    <w:multiLevelType w:val="hybridMultilevel"/>
    <w:tmpl w:val="23864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4E01D8"/>
    <w:multiLevelType w:val="hybridMultilevel"/>
    <w:tmpl w:val="B9A69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EB6FBD"/>
    <w:multiLevelType w:val="hybridMultilevel"/>
    <w:tmpl w:val="CAC0A00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147460"/>
    <w:multiLevelType w:val="hybridMultilevel"/>
    <w:tmpl w:val="9EF22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EA02BF"/>
    <w:multiLevelType w:val="hybridMultilevel"/>
    <w:tmpl w:val="D36EC63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C8"/>
    <w:rsid w:val="002A6D5F"/>
    <w:rsid w:val="004770AF"/>
    <w:rsid w:val="009415C8"/>
    <w:rsid w:val="0096132B"/>
    <w:rsid w:val="009D666C"/>
    <w:rsid w:val="00A542C9"/>
    <w:rsid w:val="00CB3B33"/>
    <w:rsid w:val="00D32B86"/>
    <w:rsid w:val="00E66A87"/>
    <w:rsid w:val="00E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66A8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66A87"/>
    <w:pPr>
      <w:keepNext/>
      <w:framePr w:hSpace="180" w:wrap="around" w:vAnchor="page" w:hAnchor="margin" w:y="3061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66A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66A87"/>
    <w:rPr>
      <w:rFonts w:ascii="Times New Roman" w:eastAsia="Times New Roman" w:hAnsi="Times New Roman" w:cs="Times New Roman"/>
      <w:b/>
      <w:bCs/>
      <w:sz w:val="18"/>
      <w:szCs w:val="24"/>
    </w:rPr>
  </w:style>
  <w:style w:type="paragraph" w:styleId="BodyText">
    <w:name w:val="Body Text"/>
    <w:basedOn w:val="Normal"/>
    <w:link w:val="BodyTextChar"/>
    <w:rsid w:val="00E66A87"/>
    <w:pPr>
      <w:framePr w:hSpace="180" w:wrap="notBeside" w:hAnchor="margin" w:y="553"/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E66A87"/>
    <w:rPr>
      <w:rFonts w:ascii="Times New Roman" w:eastAsia="Times New Roman" w:hAnsi="Times New Roman" w:cs="Times New Roman"/>
      <w:b/>
      <w:bC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66A8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66A87"/>
    <w:pPr>
      <w:keepNext/>
      <w:framePr w:hSpace="180" w:wrap="around" w:vAnchor="page" w:hAnchor="margin" w:y="3061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66A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66A87"/>
    <w:rPr>
      <w:rFonts w:ascii="Times New Roman" w:eastAsia="Times New Roman" w:hAnsi="Times New Roman" w:cs="Times New Roman"/>
      <w:b/>
      <w:bCs/>
      <w:sz w:val="18"/>
      <w:szCs w:val="24"/>
    </w:rPr>
  </w:style>
  <w:style w:type="paragraph" w:styleId="BodyText">
    <w:name w:val="Body Text"/>
    <w:basedOn w:val="Normal"/>
    <w:link w:val="BodyTextChar"/>
    <w:rsid w:val="00E66A87"/>
    <w:pPr>
      <w:framePr w:hSpace="180" w:wrap="notBeside" w:hAnchor="margin" w:y="553"/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E66A87"/>
    <w:rPr>
      <w:rFonts w:ascii="Times New Roman" w:eastAsia="Times New Roman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Riley, Kyle L.</dc:creator>
  <cp:lastModifiedBy>Riley, Kyle L.</cp:lastModifiedBy>
  <cp:revision>5</cp:revision>
  <dcterms:created xsi:type="dcterms:W3CDTF">2016-03-01T15:10:00Z</dcterms:created>
  <dcterms:modified xsi:type="dcterms:W3CDTF">2016-03-02T15:14:00Z</dcterms:modified>
</cp:coreProperties>
</file>