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73159E12" w:rsidR="00FF4BA2" w:rsidRPr="00FF4BA2" w:rsidRDefault="00FF4BA2" w:rsidP="00551E65">
      <w:pPr>
        <w:pStyle w:val="callout2"/>
      </w:pPr>
      <w:r w:rsidRPr="00FF4BA2">
        <w:t>Author: Jordan Clark, PhD (</w:t>
      </w:r>
      <w:r w:rsidR="007461E2">
        <w:t xml:space="preserve">Duke Global Health Institute | </w:t>
      </w:r>
      <w:r w:rsidRPr="00FF4BA2">
        <w:t>Klimo Insights</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F51D8B" w:rsidRDefault="00640C90" w:rsidP="00640C90">
      <w:pPr>
        <w:pStyle w:val="calloutbox"/>
      </w:pPr>
      <w:r w:rsidRPr="00640C90">
        <w:t xml:space="preserve">Notes on references and appendices. In-text citations point to sources for deeper methodological and data background (e.g., WMO climate </w:t>
      </w:r>
      <w:proofErr w:type="spellStart"/>
      <w:r w:rsidRPr="00640C90">
        <w:t>normals</w:t>
      </w:r>
      <w:proofErr w:type="spellEnd"/>
      <w:r w:rsidRPr="00640C90">
        <w:t xml:space="preserve">, ERA5 documentation, DLNMs, measurement-error and spatial-misalignment texts). </w:t>
      </w:r>
      <w:r w:rsidRPr="007461E2">
        <w:rPr>
          <w:b/>
          <w:bCs/>
        </w:rPr>
        <w:t>Appendix A</w:t>
      </w:r>
      <w:r w:rsidRPr="00640C90">
        <w:t xml:space="preserve"> provides a condensed, end-to-end walkthrough; it is most useful after reading the background sections and can feel terse if climate data are new. </w:t>
      </w:r>
      <w:r w:rsidRPr="007461E2">
        <w:rPr>
          <w:b/>
          <w:bCs/>
        </w:rPr>
        <w:t>Appendix B</w:t>
      </w:r>
      <w:r w:rsidRPr="00640C90">
        <w:t xml:space="preserve"> summarizes </w:t>
      </w:r>
      <w:r w:rsidR="007461E2">
        <w:t xml:space="preserve">climate variables </w:t>
      </w:r>
      <w:proofErr w:type="gramStart"/>
      <w:r w:rsidR="007461E2">
        <w:t>most commonly used</w:t>
      </w:r>
      <w:proofErr w:type="gramEnd"/>
      <w:r w:rsidR="007461E2">
        <w:t xml:space="preserve">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w:t>
      </w:r>
      <w:proofErr w:type="spellStart"/>
      <w:r w:rsidRPr="00F51D8B">
        <w:rPr>
          <w:rFonts w:ascii="Noto Sans" w:hAnsi="Noto Sans" w:cs="Noto Sans"/>
          <w:sz w:val="20"/>
          <w:szCs w:val="20"/>
        </w:rPr>
        <w:t>Gryparis</w:t>
      </w:r>
      <w:proofErr w:type="spellEnd"/>
      <w:r w:rsidRPr="00F51D8B">
        <w:rPr>
          <w:rFonts w:ascii="Noto Sans" w:hAnsi="Noto Sans" w:cs="Noto Sans"/>
          <w:sz w:val="20"/>
          <w:szCs w:val="20"/>
        </w:rPr>
        <w:t xml:space="preserve">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 xml:space="preserve">is reported in epidemiological weeks or months, while climate data arrive at mismatched scales: station observations, satellite overpasses, or hourly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 xml:space="preserve">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 xml:space="preserve">Variables behave differently across time. For temperature and humidity proxies, daily mean/min/max retain biologically meaningful variation. For precipitation, unit semantics matter: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 xml:space="preserve">Even with careful alignment, residual exposure error—especially for tropical precipitation—can attenuate associations. Small effects warrant caution and should be stress-tested across alternative exposure definitions and aggregation choices (Carroll et al., 2006;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 The Sri Lanka example that follows simply instantiates these steps (district overlays, ERA5 inputs, Asia/Colombo time) but the logic extends to other diseases, geographies, and data sources.</w:t>
      </w:r>
    </w:p>
    <w:p w14:paraId="63643DAD" w14:textId="0416EE7E" w:rsidR="00DA4A09" w:rsidRPr="008030D2" w:rsidRDefault="00DA4A09" w:rsidP="00551E65">
      <w:pPr>
        <w:pStyle w:val="callout2"/>
      </w:pPr>
      <w:r w:rsidRPr="008030D2">
        <w:t xml:space="preserve">Note: From this point forward, each methodological section includes a concrete Sri Lanka anchor so readers can map concepts to practice. Code and data pointers are available at: </w:t>
      </w:r>
      <w:hyperlink r:id="rId7" w:history="1">
        <w:r w:rsidRPr="008030D2">
          <w:rPr>
            <w:rStyle w:val="Hyperlink"/>
            <w:rFonts w:ascii="Roboto" w:hAnsi="Roboto" w:cs="Noto Sans"/>
            <w:i/>
            <w:iCs/>
            <w:sz w:val="16"/>
            <w:szCs w:val="16"/>
          </w:rPr>
          <w:t>GitHub Link</w:t>
        </w:r>
      </w:hyperlink>
      <w:r w:rsidRPr="008030D2">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proofErr w:type="spellStart"/>
      <w:r w:rsidRPr="00357559">
        <w:rPr>
          <w:rStyle w:val="Heading3Char"/>
        </w:rPr>
        <w:t>Reanalyses</w:t>
      </w:r>
      <w:proofErr w:type="spellEnd"/>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w:t>
      </w:r>
      <w:proofErr w:type="spellStart"/>
      <w:r w:rsidRPr="00640C90">
        <w:rPr>
          <w:rFonts w:ascii="Noto Sans" w:hAnsi="Noto Sans" w:cs="Noto Sans"/>
          <w:sz w:val="20"/>
          <w:szCs w:val="20"/>
        </w:rPr>
        <w:t>Hersbach</w:t>
      </w:r>
      <w:proofErr w:type="spellEnd"/>
      <w:r w:rsidRPr="00640C90">
        <w:rPr>
          <w:rFonts w:ascii="Noto Sans" w:hAnsi="Noto Sans" w:cs="Noto Sans"/>
          <w:sz w:val="20"/>
          <w:szCs w:val="20"/>
        </w:rPr>
        <w:t xml:space="preserve">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xml:space="preserve">: Most </w:t>
      </w:r>
      <w:proofErr w:type="spellStart"/>
      <w:r w:rsidRPr="00E25FF7">
        <w:rPr>
          <w:rFonts w:ascii="Noto Sans" w:hAnsi="Noto Sans" w:cs="Noto Sans"/>
          <w:sz w:val="20"/>
          <w:szCs w:val="20"/>
        </w:rPr>
        <w:t>reanalyses</w:t>
      </w:r>
      <w:proofErr w:type="spellEnd"/>
      <w:r w:rsidRPr="00E25FF7">
        <w:rPr>
          <w:rFonts w:ascii="Noto Sans" w:hAnsi="Noto Sans" w:cs="Noto Sans"/>
          <w:sz w:val="20"/>
          <w:szCs w:val="20"/>
        </w:rPr>
        <w:t xml:space="preserve">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lastRenderedPageBreak/>
        <w:t>Levels</w:t>
      </w:r>
      <w:r w:rsidRPr="00E25FF7">
        <w:rPr>
          <w:rFonts w:ascii="Noto Sans" w:hAnsi="Noto Sans" w:cs="Noto Sans"/>
          <w:sz w:val="20"/>
          <w:szCs w:val="20"/>
        </w:rPr>
        <w:t xml:space="preserve">: Some variables are at the surface (2-m air temperature, 10-m wind); others are at pressure levels aloft (e.g., 850 </w:t>
      </w:r>
      <w:proofErr w:type="spellStart"/>
      <w:r w:rsidRPr="00E25FF7">
        <w:rPr>
          <w:rFonts w:ascii="Noto Sans" w:hAnsi="Noto Sans" w:cs="Noto Sans"/>
          <w:sz w:val="20"/>
          <w:szCs w:val="20"/>
        </w:rPr>
        <w:t>hPa</w:t>
      </w:r>
      <w:proofErr w:type="spellEnd"/>
      <w:r w:rsidRPr="00E25FF7">
        <w:rPr>
          <w:rFonts w:ascii="Noto Sans" w:hAnsi="Noto Sans" w:cs="Noto Sans"/>
          <w:sz w:val="20"/>
          <w:szCs w:val="20"/>
        </w:rPr>
        <w:t xml:space="preserve">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xml:space="preserve">): Hourly near-surface air temperature, representing the conditions people and vectors </w:t>
      </w:r>
      <w:proofErr w:type="gramStart"/>
      <w:r w:rsidRPr="007461E2">
        <w:rPr>
          <w:rFonts w:ascii="Noto Sans" w:hAnsi="Noto Sans" w:cs="Noto Sans"/>
          <w:sz w:val="20"/>
          <w:szCs w:val="20"/>
        </w:rPr>
        <w:t>actually experience</w:t>
      </w:r>
      <w:proofErr w:type="gramEnd"/>
      <w:r w:rsidRPr="007461E2">
        <w:rPr>
          <w:rFonts w:ascii="Noto Sans" w:hAnsi="Noto Sans" w:cs="Noto Sans"/>
          <w:sz w:val="20"/>
          <w:szCs w:val="20"/>
        </w:rPr>
        <w:t xml:space="preserv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(MTPR): Average intensity of precipitation within an hour, integrated to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 xml:space="preserve">(SSRD): Solar energy reaching the surface, expressed as daily or weekly means of hourly values. Why: Controls surface heating, drying of </w:t>
      </w:r>
      <w:proofErr w:type="gramStart"/>
      <w:r w:rsidRPr="007461E2">
        <w:rPr>
          <w:rFonts w:ascii="Noto Sans" w:hAnsi="Noto Sans" w:cs="Noto Sans"/>
          <w:sz w:val="20"/>
          <w:szCs w:val="20"/>
        </w:rPr>
        <w:t>soils</w:t>
      </w:r>
      <w:proofErr w:type="gramEnd"/>
      <w:r w:rsidRPr="007461E2">
        <w:rPr>
          <w:rFonts w:ascii="Noto Sans" w:hAnsi="Noto Sans" w:cs="Noto Sans"/>
          <w:sz w:val="20"/>
          <w:szCs w:val="20"/>
        </w:rPr>
        <w:t xml:space="preserve">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06CF88A3" w14:textId="77777777" w:rsidR="0047331A" w:rsidRDefault="0047331A" w:rsidP="00B532CE">
      <w:pPr>
        <w:pStyle w:val="calloutbox"/>
        <w:rPr>
          <w:i/>
          <w:iCs/>
        </w:rPr>
      </w:pPr>
      <w:r w:rsidRPr="0047331A">
        <w:rPr>
          <w:i/>
          <w:iCs/>
        </w:rPr>
        <w:t>See Appendix B for more information about wind speed and direction.</w:t>
      </w:r>
      <w:r>
        <w:rPr>
          <w:i/>
          <w:iCs/>
        </w:rPr>
        <w:t xml:space="preserve"> </w:t>
      </w:r>
    </w:p>
    <w:p w14:paraId="6EFBE79F" w14:textId="0BC45A79" w:rsidR="00073743" w:rsidRPr="00F51D8B" w:rsidRDefault="0047331A" w:rsidP="00B532CE">
      <w:pPr>
        <w:pStyle w:val="calloutbox"/>
      </w:pPr>
      <w:r w:rsidRPr="0047331A">
        <w:t>R</w:t>
      </w:r>
      <w:r w:rsidR="00F51D8B" w:rsidRPr="0047331A">
        <w:t>e</w:t>
      </w:r>
      <w:r w:rsidR="00F51D8B" w:rsidRPr="00F51D8B">
        <w:t>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lastRenderedPageBreak/>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proofErr w:type="spellStart"/>
      <w:r w:rsidRPr="007461E2">
        <w:rPr>
          <w:rFonts w:ascii="Noto Sans" w:hAnsi="Noto Sans" w:cs="Noto Sans"/>
          <w:color w:val="005587"/>
          <w:sz w:val="20"/>
          <w:szCs w:val="20"/>
        </w:rPr>
        <w:t>ssrd</w:t>
      </w:r>
      <w:proofErr w:type="spellEnd"/>
      <w:r w:rsidRPr="007461E2">
        <w:rPr>
          <w:rFonts w:ascii="Noto Sans" w:hAnsi="Noto Sans" w:cs="Noto Sans"/>
          <w:sz w:val="20"/>
          <w:szCs w:val="20"/>
        </w:rPr>
        <w:t xml:space="preserve">), and precipitation. ERA5 provides two precipitation </w:t>
      </w:r>
      <w:proofErr w:type="gramStart"/>
      <w:r w:rsidRPr="007461E2">
        <w:rPr>
          <w:rFonts w:ascii="Noto Sans" w:hAnsi="Noto Sans" w:cs="Noto Sans"/>
          <w:sz w:val="20"/>
          <w:szCs w:val="20"/>
        </w:rPr>
        <w:t>series</w:t>
      </w:r>
      <w:proofErr w:type="gramEnd"/>
      <w:r w:rsidRPr="007461E2">
        <w:rPr>
          <w:rFonts w:ascii="Noto Sans" w:hAnsi="Noto Sans" w:cs="Noto Sans"/>
          <w:sz w:val="20"/>
          <w:szCs w:val="20"/>
        </w:rPr>
        <w:t xml:space="preserve">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tp</w:t>
      </w:r>
      <w:proofErr w:type="spellEnd"/>
      <w:r w:rsidRPr="007461E2">
        <w:rPr>
          <w:rStyle w:val="SubtitleChar"/>
          <w:color w:val="auto"/>
        </w:rPr>
        <w:t xml:space="preserve">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mtpr</w:t>
      </w:r>
      <w:proofErr w:type="spellEnd"/>
      <w:r w:rsidRPr="007461E2">
        <w:rPr>
          <w:rStyle w:val="SubtitleChar"/>
          <w:color w:val="auto"/>
        </w:rPr>
        <w:t xml:space="preserve">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0AAF52C6" w:rsidR="00535BC8" w:rsidRPr="00535BC8" w:rsidRDefault="0039027B" w:rsidP="00640C90">
      <w:pPr>
        <w:pStyle w:val="Heading1"/>
      </w:pPr>
      <w:r>
        <w:t>4</w:t>
      </w:r>
      <w:r w:rsidR="00535BC8" w:rsidRPr="00535BC8">
        <w:t>. Spatial setup for district-level aggregation (projections &amp; overlays)</w:t>
      </w:r>
    </w:p>
    <w:p w14:paraId="02E4FB9C" w14:textId="28FB32F2" w:rsidR="00535BC8" w:rsidRPr="00535BC8" w:rsidRDefault="00535BC8" w:rsidP="00640C90">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lastRenderedPageBreak/>
        <w:t>From cells to districts (polygons and overlaps)</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F85271A" w:rsidR="00535BC8" w:rsidRPr="00535BC8" w:rsidRDefault="00535BC8" w:rsidP="00640C90">
      <w:pPr>
        <w:pStyle w:val="Heading2"/>
      </w:pPr>
      <w:r w:rsidRPr="00535BC8">
        <w:t xml:space="preserve">Resampling vs overlay </w:t>
      </w:r>
      <w:r w:rsidR="0047331A">
        <w:t>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 xml:space="preserve">Area-weighted overlay respects geometry and conservation: each cell contributes in proportion to its land area inside the district. For precipitation, this preserves sums; for state variables it yields a defensible </w:t>
      </w:r>
      <w:proofErr w:type="gramStart"/>
      <w:r w:rsidRPr="00535BC8">
        <w:rPr>
          <w:rFonts w:ascii="Noto Sans" w:hAnsi="Noto Sans" w:cs="Noto Sans"/>
          <w:sz w:val="20"/>
          <w:szCs w:val="20"/>
        </w:rPr>
        <w:t>mean</w:t>
      </w:r>
      <w:proofErr w:type="gramEnd"/>
      <w:r w:rsidRPr="00535BC8">
        <w:rPr>
          <w:rFonts w:ascii="Noto Sans" w:hAnsi="Noto Sans" w:cs="Noto Sans"/>
          <w:sz w:val="20"/>
          <w:szCs w:val="20"/>
        </w:rPr>
        <w:t>. Overlay is preferred for district-level summaries, especially for rainfall.</w:t>
      </w:r>
    </w:p>
    <w:p w14:paraId="577CD1E0" w14:textId="77777777" w:rsidR="004E2355" w:rsidRDefault="004E2355" w:rsidP="004E2355">
      <w:pPr>
        <w:spacing w:after="60" w:line="240" w:lineRule="auto"/>
        <w:rPr>
          <w:rFonts w:ascii="Noto Sans" w:hAnsi="Noto Sans" w:cs="Noto Sans"/>
          <w:sz w:val="20"/>
          <w:szCs w:val="20"/>
        </w:rPr>
      </w:pPr>
    </w:p>
    <w:p w14:paraId="26ADD1A5" w14:textId="0683683F" w:rsidR="004E2355" w:rsidRDefault="0047331A" w:rsidP="004E2355">
      <w:pPr>
        <w:pStyle w:val="Heading2"/>
      </w:pPr>
      <w:r>
        <w:t xml:space="preserve">Practical </w:t>
      </w:r>
      <w:r w:rsidR="004E2355" w:rsidRPr="004E2355">
        <w:t>Implementation notes</w:t>
      </w:r>
    </w:p>
    <w:p w14:paraId="2FA4667C" w14:textId="02DF9C53"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CRS: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Coastal cells: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Masking: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4E2355">
        <w:rPr>
          <w:rFonts w:ascii="Noto Sans" w:hAnsi="Noto Sans" w:cs="Noto Sans"/>
          <w:sz w:val="20"/>
          <w:szCs w:val="20"/>
        </w:rPr>
        <w:t xml:space="preserve">Performance: Precompute and cache the </w:t>
      </w:r>
      <w:proofErr w:type="spellStart"/>
      <w:r w:rsidRPr="004E2355">
        <w:rPr>
          <w:rFonts w:ascii="Noto Sans" w:hAnsi="Noto Sans" w:cs="Noto Sans"/>
          <w:sz w:val="20"/>
          <w:szCs w:val="20"/>
        </w:rPr>
        <w:t>cell×district</w:t>
      </w:r>
      <w:proofErr w:type="spellEnd"/>
      <w:r w:rsidRPr="004E2355">
        <w:rPr>
          <w:rFonts w:ascii="Noto Sans" w:hAnsi="Noto Sans" w:cs="Noto Sans"/>
          <w:sz w:val="20"/>
          <w:szCs w:val="20"/>
        </w:rPr>
        <w:t xml:space="preserve">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QA checks:</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lastRenderedPageBreak/>
        <w:t>5) Workflow: hourly grid → district-day → district-week (step-by-step)</w:t>
      </w:r>
    </w:p>
    <w:p w14:paraId="108E19FA" w14:textId="4D7915B2" w:rsidR="00984FF8" w:rsidRDefault="00535BC8" w:rsidP="00551E65">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551E65">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Construct cell polygons; intersect with district polygons in an equal-area CRS; compute overlap area (m²). Store </w:t>
      </w:r>
      <w:proofErr w:type="spellStart"/>
      <w:r w:rsidRPr="00535BC8">
        <w:rPr>
          <w:rFonts w:ascii="Noto Sans" w:hAnsi="Noto Sans" w:cs="Noto Sans"/>
          <w:sz w:val="20"/>
          <w:szCs w:val="20"/>
        </w:rPr>
        <w:t>cell→district</w:t>
      </w:r>
      <w:proofErr w:type="spellEnd"/>
      <w:r w:rsidRPr="00535BC8">
        <w:rPr>
          <w:rFonts w:ascii="Noto Sans" w:hAnsi="Noto Sans" w:cs="Noto Sans"/>
          <w:sz w:val="20"/>
          <w:szCs w:val="20"/>
        </w:rPr>
        <w:t xml:space="preserve"> weights for reuse across variables and dates (Mennis, 2003).</w:t>
      </w:r>
    </w:p>
    <w:p w14:paraId="6B144120" w14:textId="77777777" w:rsidR="00984FF8" w:rsidRDefault="00535BC8" w:rsidP="00551E65">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551E65">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Using the WER week-ending rule, gather the days in that local-time week and compute weekly features (totals; wet-day counts; longest wet spell; max 3-day precipitation;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 Apply minimum-coverage rules during analysis rather than in data creation.</w:t>
      </w:r>
    </w:p>
    <w:p w14:paraId="1518481E" w14:textId="77777777" w:rsidR="00984FF8" w:rsidRDefault="00535BC8" w:rsidP="00551E65">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w:t>
      </w:r>
      <w:proofErr w:type="gramStart"/>
      <w:r w:rsidRPr="00535BC8">
        <w:rPr>
          <w:rFonts w:ascii="Noto Sans" w:hAnsi="Noto Sans" w:cs="Noto Sans"/>
          <w:sz w:val="20"/>
          <w:szCs w:val="20"/>
        </w:rPr>
        <w:t>6 week</w:t>
      </w:r>
      <w:proofErr w:type="gramEnd"/>
      <w:r w:rsidRPr="00535BC8">
        <w:rPr>
          <w:rFonts w:ascii="Noto Sans" w:hAnsi="Noto Sans" w:cs="Noto Sans"/>
          <w:sz w:val="20"/>
          <w:szCs w:val="20"/>
        </w:rPr>
        <w:t xml:space="preserve">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551E65">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551E65">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Harmonize district names across sources; merge weekly climate features to WER case counts by district/week; add population to compute rates and </w:t>
      </w:r>
      <w:proofErr w:type="gramStart"/>
      <w:r w:rsidRPr="00535BC8">
        <w:rPr>
          <w:rFonts w:ascii="Noto Sans" w:hAnsi="Noto Sans" w:cs="Noto Sans"/>
          <w:sz w:val="20"/>
          <w:szCs w:val="20"/>
        </w:rPr>
        <w:t>to provide</w:t>
      </w:r>
      <w:proofErr w:type="gramEnd"/>
      <w:r w:rsidRPr="00535BC8">
        <w:rPr>
          <w:rFonts w:ascii="Noto Sans" w:hAnsi="Noto Sans" w:cs="Noto Sans"/>
          <w:sz w:val="20"/>
          <w:szCs w:val="20"/>
        </w:rPr>
        <w:t xml:space="preserve"> a Poisson/NB offset (Bhaskaran et al., 2013; Peng et al., 2006).</w:t>
      </w:r>
    </w:p>
    <w:p w14:paraId="3BDFA331" w14:textId="77777777" w:rsidR="00535BC8" w:rsidRPr="0047331A" w:rsidRDefault="00535BC8" w:rsidP="00551E65">
      <w:pPr>
        <w:pStyle w:val="callout2"/>
      </w:pPr>
      <w:r w:rsidRPr="0047331A">
        <w:t xml:space="preserve">Sri Lanka note. Cell-day statistics are computed in Asia/Colombo and </w:t>
      </w:r>
      <w:proofErr w:type="gramStart"/>
      <w:r w:rsidRPr="0047331A">
        <w:t>area-weighted</w:t>
      </w:r>
      <w:proofErr w:type="gramEnd"/>
      <w:r w:rsidRPr="0047331A">
        <w:t xml:space="preserve"> to district-day series using stored weights. Precipitation totals are clipped at zero after conversion. District-day features are aggregated to district-week features aligned to WER weeks. Merge keys: district, </w:t>
      </w:r>
      <w:proofErr w:type="spellStart"/>
      <w:r w:rsidRPr="0047331A">
        <w:t>date_start</w:t>
      </w:r>
      <w:proofErr w:type="spellEnd"/>
      <w:r w:rsidRPr="0047331A">
        <w:t xml:space="preserve">, </w:t>
      </w:r>
      <w:proofErr w:type="spellStart"/>
      <w:r w:rsidRPr="0047331A">
        <w:t>date_end</w:t>
      </w:r>
      <w:proofErr w:type="spellEnd"/>
      <w:r w:rsidRPr="0047331A">
        <w:t xml:space="preserve">, year, </w:t>
      </w:r>
      <w:proofErr w:type="spellStart"/>
      <w:r w:rsidRPr="0047331A">
        <w:t>week_of_year</w:t>
      </w:r>
      <w:proofErr w:type="spellEnd"/>
      <w:r w:rsidRPr="0047331A">
        <w:t xml:space="preserve">, plus </w:t>
      </w:r>
      <w:proofErr w:type="spellStart"/>
      <w:r w:rsidRPr="0047331A">
        <w:t>n_days_week</w:t>
      </w:r>
      <w:proofErr w:type="spellEnd"/>
      <w:r w:rsidRPr="0047331A">
        <w:t>.</w:t>
      </w:r>
    </w:p>
    <w:p w14:paraId="4F1BFAA4" w14:textId="77777777" w:rsidR="00535BC8" w:rsidRPr="00535BC8" w:rsidRDefault="00535BC8" w:rsidP="00640C90">
      <w:pPr>
        <w:pStyle w:val="Heading1"/>
      </w:pPr>
      <w:r w:rsidRPr="00535BC8">
        <w:lastRenderedPageBreak/>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proofErr w:type="spellStart"/>
      <w:r w:rsidR="004E2355" w:rsidRPr="00E352C2">
        <w:rPr>
          <w:rFonts w:ascii="Noto Sans" w:hAnsi="Noto Sans" w:cs="Noto Sans"/>
          <w:i/>
          <w:iCs/>
          <w:sz w:val="20"/>
          <w:szCs w:val="20"/>
        </w:rPr>
        <w:t>t</w:t>
      </w:r>
      <w:proofErr w:type="spellEnd"/>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 xml:space="preserve">(kPa) from saturation minus actual vapor pressure. Daily values </w:t>
      </w:r>
      <w:proofErr w:type="gramStart"/>
      <w:r w:rsidR="00535BC8" w:rsidRPr="00535BC8">
        <w:rPr>
          <w:rFonts w:ascii="Noto Sans" w:hAnsi="Noto Sans" w:cs="Noto Sans"/>
          <w:sz w:val="20"/>
          <w:szCs w:val="20"/>
        </w:rPr>
        <w:t>averaged</w:t>
      </w:r>
      <w:proofErr w:type="gramEnd"/>
      <w:r w:rsidR="00535BC8" w:rsidRPr="00535BC8">
        <w:rPr>
          <w:rFonts w:ascii="Noto Sans" w:hAnsi="Noto Sans" w:cs="Noto Sans"/>
          <w:sz w:val="20"/>
          <w:szCs w:val="20"/>
        </w:rPr>
        <w:t xml:space="preserve"> from hours; weekly values are means of daily values. Avoid co-modeling RH and VPD without strong rationale due to algebraic linkage (Dormann et al., 2013; </w:t>
      </w:r>
      <w:proofErr w:type="spellStart"/>
      <w:r w:rsidR="00535BC8" w:rsidRPr="00535BC8">
        <w:rPr>
          <w:rFonts w:ascii="Noto Sans" w:hAnsi="Noto Sans" w:cs="Noto Sans"/>
          <w:sz w:val="20"/>
          <w:szCs w:val="20"/>
        </w:rPr>
        <w:t>Vatcheva</w:t>
      </w:r>
      <w:proofErr w:type="spellEnd"/>
      <w:r w:rsidR="00535BC8" w:rsidRPr="00535BC8">
        <w:rPr>
          <w:rFonts w:ascii="Noto Sans" w:hAnsi="Noto Sans" w:cs="Noto Sans"/>
          <w:sz w:val="20"/>
          <w:szCs w:val="20"/>
        </w:rPr>
        <w:t xml:space="preserve"> et al., 2016; Novick et al., 2016). WBGT may be estimated when inputs permit (Liljegren et al., 2008)</w:t>
      </w:r>
      <w:r>
        <w:rPr>
          <w:rFonts w:ascii="Noto Sans" w:hAnsi="Noto Sans" w:cs="Noto Sans"/>
          <w:sz w:val="20"/>
          <w:szCs w:val="20"/>
        </w:rPr>
        <w:t>.</w:t>
      </w:r>
    </w:p>
    <w:p w14:paraId="519480F7" w14:textId="540C6C44" w:rsidR="00535BC8" w:rsidRPr="0047331A" w:rsidRDefault="00535BC8" w:rsidP="00551E65">
      <w:pPr>
        <w:pStyle w:val="callout2"/>
      </w:pPr>
      <w:r w:rsidRPr="0047331A">
        <w:t xml:space="preserve">Sri Lanka. </w:t>
      </w:r>
      <w:r w:rsidR="00F51D8B" w:rsidRPr="0047331A">
        <w:t xml:space="preserve">Weekly </w:t>
      </w:r>
      <w:proofErr w:type="spellStart"/>
      <w:r w:rsidR="00F51D8B" w:rsidRPr="0047331A">
        <w:t>rh_mean_week</w:t>
      </w:r>
      <w:proofErr w:type="spellEnd"/>
      <w:r w:rsidR="00F51D8B" w:rsidRPr="0047331A">
        <w:t xml:space="preserve"> and </w:t>
      </w:r>
      <w:proofErr w:type="spellStart"/>
      <w:r w:rsidR="00F51D8B" w:rsidRPr="0047331A">
        <w:t>vpd_mean_week</w:t>
      </w:r>
      <w:proofErr w:type="spellEnd"/>
      <w:r w:rsidR="00F51D8B" w:rsidRPr="0047331A">
        <w:t xml:space="preserve">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 xml:space="preserve">Name: </w:t>
      </w:r>
      <w:proofErr w:type="spellStart"/>
      <w:r w:rsidRPr="00F51D8B">
        <w:rPr>
          <w:rFonts w:ascii="Noto Sans" w:hAnsi="Noto Sans" w:cs="Noto Sans"/>
          <w:sz w:val="20"/>
          <w:szCs w:val="20"/>
        </w:rPr>
        <w:t>wet_spell_maxlen_tp</w:t>
      </w:r>
      <w:proofErr w:type="spellEnd"/>
      <w:r w:rsidRPr="00F51D8B">
        <w:rPr>
          <w:rFonts w:ascii="Noto Sans" w:hAnsi="Noto Sans" w:cs="Noto Sans"/>
          <w:sz w:val="20"/>
          <w:szCs w:val="20"/>
        </w:rPr>
        <w:t>.</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551E65" w:rsidRDefault="00F51D8B" w:rsidP="00551E65">
      <w:pPr>
        <w:pStyle w:val="callout2"/>
      </w:pPr>
      <w:r w:rsidRPr="00551E65">
        <w:rPr>
          <w:rStyle w:val="Heading3Char"/>
          <w:b w:val="0"/>
          <w:szCs w:val="18"/>
        </w:rPr>
        <w:t>Sri Lanka.</w:t>
      </w:r>
      <w:r w:rsidR="00357559" w:rsidRPr="00551E65">
        <w:t xml:space="preserve"> </w:t>
      </w:r>
      <w:r w:rsidRPr="00551E65">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For each district and week-of-year, compute a baseline using 1991–2020 (or your chosen period). This yields </w:t>
      </w:r>
      <w:proofErr w:type="spellStart"/>
      <w:r w:rsidRPr="004E2355">
        <w:rPr>
          <w:rFonts w:ascii="Noto Sans" w:hAnsi="Noto Sans" w:cs="Noto Sans"/>
          <w:sz w:val="20"/>
          <w:szCs w:val="20"/>
        </w:rPr>
        <w:t>x_</w:t>
      </w:r>
      <w:proofErr w:type="gramStart"/>
      <w:r w:rsidRPr="004E2355">
        <w:rPr>
          <w:rFonts w:ascii="Noto Sans" w:hAnsi="Noto Sans" w:cs="Noto Sans"/>
          <w:sz w:val="20"/>
          <w:szCs w:val="20"/>
        </w:rPr>
        <w:t>normal</w:t>
      </w:r>
      <w:proofErr w:type="spellEnd"/>
      <w:r w:rsidRPr="004E2355">
        <w:rPr>
          <w:rFonts w:ascii="Noto Sans" w:hAnsi="Noto Sans" w:cs="Noto Sans"/>
          <w:sz w:val="20"/>
          <w:szCs w:val="20"/>
        </w:rPr>
        <w:t>(</w:t>
      </w:r>
      <w:proofErr w:type="gramEnd"/>
      <w:r w:rsidRPr="004E2355">
        <w:rPr>
          <w:rFonts w:ascii="Noto Sans" w:hAnsi="Noto Sans" w:cs="Noto Sans"/>
          <w:sz w:val="20"/>
          <w:szCs w:val="20"/>
        </w:rPr>
        <w:t xml:space="preserve">district, </w:t>
      </w:r>
      <w:proofErr w:type="spellStart"/>
      <w:r w:rsidRPr="004E2355">
        <w:rPr>
          <w:rFonts w:ascii="Noto Sans" w:hAnsi="Noto Sans" w:cs="Noto Sans"/>
          <w:sz w:val="20"/>
          <w:szCs w:val="20"/>
        </w:rPr>
        <w:t>week_of_year</w:t>
      </w:r>
      <w:proofErr w:type="spellEnd"/>
      <w:r w:rsidRPr="004E2355">
        <w:rPr>
          <w:rFonts w:ascii="Noto Sans" w:hAnsi="Noto Sans" w:cs="Noto Sans"/>
          <w:sz w:val="20"/>
          <w:szCs w:val="20"/>
        </w:rPr>
        <w:t>).</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lastRenderedPageBreak/>
        <w:t xml:space="preserve">Anomaly: x_anom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Percent-of-normal: </w:t>
      </w:r>
      <w:proofErr w:type="spellStart"/>
      <w:r w:rsidRPr="004E2355">
        <w:rPr>
          <w:rFonts w:ascii="Noto Sans" w:hAnsi="Noto Sans" w:cs="Noto Sans"/>
          <w:sz w:val="20"/>
          <w:szCs w:val="20"/>
        </w:rPr>
        <w:t>x_pct_normal</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gramStart"/>
      <w:r w:rsidRPr="004E2355">
        <w:rPr>
          <w:rFonts w:ascii="Noto Sans" w:hAnsi="Noto Sans" w:cs="Noto Sans"/>
          <w:sz w:val="20"/>
          <w:szCs w:val="20"/>
        </w:rPr>
        <w:t>max(</w:t>
      </w:r>
      <w:proofErr w:type="spellStart"/>
      <w:proofErr w:type="gramEnd"/>
      <w:r w:rsidRPr="004E2355">
        <w:rPr>
          <w:rFonts w:ascii="Noto Sans" w:hAnsi="Noto Sans" w:cs="Noto Sans"/>
          <w:sz w:val="20"/>
          <w:szCs w:val="20"/>
        </w:rPr>
        <w:t>x_normal</w:t>
      </w:r>
      <w:proofErr w:type="spellEnd"/>
      <w:r w:rsidRPr="004E2355">
        <w:rPr>
          <w:rFonts w:ascii="Noto Sans" w:hAnsi="Noto Sans" w:cs="Noto Sans"/>
          <w:sz w:val="20"/>
          <w:szCs w:val="20"/>
        </w:rPr>
        <w:t>,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t xml:space="preserve">Why </w:t>
      </w:r>
      <w:proofErr w:type="gramStart"/>
      <w:r w:rsidRPr="004E2355">
        <w:rPr>
          <w:rFonts w:ascii="Noto Sans" w:hAnsi="Noto Sans" w:cs="Noto Sans"/>
          <w:sz w:val="20"/>
          <w:szCs w:val="20"/>
          <w:u w:val="single"/>
        </w:rPr>
        <w:t>use</w:t>
      </w:r>
      <w:proofErr w:type="gramEnd"/>
      <w:r w:rsidRPr="004E2355">
        <w:rPr>
          <w:rFonts w:ascii="Noto Sans" w:hAnsi="Noto Sans" w:cs="Noto Sans"/>
          <w:sz w:val="20"/>
          <w:szCs w:val="20"/>
          <w:u w:val="single"/>
        </w:rPr>
        <w:t xml:space="preserv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Compute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Require a </w:t>
      </w:r>
      <w:proofErr w:type="gramStart"/>
      <w:r w:rsidRPr="004E2355">
        <w:rPr>
          <w:rFonts w:ascii="Noto Sans" w:hAnsi="Noto Sans" w:cs="Noto Sans"/>
          <w:sz w:val="20"/>
          <w:szCs w:val="20"/>
        </w:rPr>
        <w:t>minimum</w:t>
      </w:r>
      <w:proofErr w:type="gramEnd"/>
      <w:r w:rsidRPr="004E2355">
        <w:rPr>
          <w:rFonts w:ascii="Noto Sans" w:hAnsi="Noto Sans" w:cs="Noto Sans"/>
          <w:sz w:val="20"/>
          <w:szCs w:val="20"/>
        </w:rPr>
        <w:t xml:space="preserve">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Apply a clamp flag when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 xml:space="preserve"> &lt; ε and document ε in methods.</w:t>
      </w:r>
    </w:p>
    <w:p w14:paraId="478AD681" w14:textId="57D51392" w:rsidR="00F51D8B" w:rsidRPr="0047331A" w:rsidRDefault="00F51D8B" w:rsidP="00551E65">
      <w:pPr>
        <w:pStyle w:val="callout2"/>
      </w:pPr>
      <w:r w:rsidRPr="0047331A">
        <w:rPr>
          <w:rStyle w:val="Heading3Char"/>
          <w:b w:val="0"/>
          <w:bCs/>
          <w:color w:val="auto"/>
          <w:szCs w:val="18"/>
        </w:rPr>
        <w:t>Sri Lanka.</w:t>
      </w:r>
      <w:r w:rsidR="00357559" w:rsidRPr="0047331A">
        <w:rPr>
          <w:rStyle w:val="Heading3Char"/>
          <w:color w:val="auto"/>
          <w:szCs w:val="18"/>
        </w:rPr>
        <w:t xml:space="preserve"> </w:t>
      </w:r>
      <w:proofErr w:type="spellStart"/>
      <w:proofErr w:type="gramStart"/>
      <w:r w:rsidRPr="0047331A">
        <w:t>Normals</w:t>
      </w:r>
      <w:proofErr w:type="spellEnd"/>
      <w:proofErr w:type="gramEnd"/>
      <w:r w:rsidRPr="0047331A">
        <w:t xml:space="preserve">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 xml:space="preserve">persistence, and reporting delays mean conditions from prior </w:t>
      </w:r>
      <w:proofErr w:type="spellStart"/>
      <w:r w:rsidRPr="00E352C2">
        <w:rPr>
          <w:rFonts w:ascii="Noto Sans" w:hAnsi="Noto Sans" w:cs="Noto Sans"/>
          <w:sz w:val="20"/>
          <w:szCs w:val="20"/>
        </w:rPr>
        <w:t>weeks</w:t>
      </w:r>
      <w:proofErr w:type="spellEnd"/>
      <w:r w:rsidRPr="00E352C2">
        <w:rPr>
          <w:rFonts w:ascii="Noto Sans" w:hAnsi="Noto Sans" w:cs="Noto Sans"/>
          <w:sz w:val="20"/>
          <w:szCs w:val="20"/>
        </w:rPr>
        <w:t xml:space="preserve">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proofErr w:type="spellStart"/>
      <w:r w:rsidRPr="00E352C2">
        <w:rPr>
          <w:rFonts w:ascii="Noto Sans" w:hAnsi="Noto Sans" w:cs="Noto Sans"/>
          <w:i/>
          <w:iCs/>
          <w:sz w:val="20"/>
          <w:szCs w:val="20"/>
        </w:rPr>
        <w:t>t</w:t>
      </w:r>
      <w:proofErr w:type="spellEnd"/>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xml:space="preserve">, </w:t>
      </w:r>
      <w:proofErr w:type="spellStart"/>
      <w:r w:rsidRPr="00E352C2">
        <w:rPr>
          <w:rFonts w:ascii="Noto Sans" w:hAnsi="Noto Sans" w:cs="Noto Sans"/>
          <w:sz w:val="20"/>
          <w:szCs w:val="20"/>
        </w:rPr>
        <w:t>lagk</w:t>
      </w:r>
      <w:proofErr w:type="spellEnd"/>
      <w:r w:rsidRPr="00E352C2">
        <w:rPr>
          <w:rFonts w:ascii="Noto Sans" w:hAnsi="Noto Sans" w:cs="Noto Sans"/>
          <w:sz w:val="20"/>
          <w:szCs w:val="20"/>
        </w:rPr>
        <w:t xml:space="preserve">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lastRenderedPageBreak/>
        <w:t xml:space="preserve">Idea: a single index that </w:t>
      </w:r>
      <w:proofErr w:type="gramStart"/>
      <w:r w:rsidRPr="00E352C2">
        <w:rPr>
          <w:rFonts w:ascii="Noto Sans" w:hAnsi="Noto Sans" w:cs="Noto Sans"/>
          <w:sz w:val="20"/>
          <w:szCs w:val="20"/>
        </w:rPr>
        <w:t>weights</w:t>
      </w:r>
      <w:proofErr w:type="gramEnd"/>
      <w:r w:rsidRPr="00E352C2">
        <w:rPr>
          <w:rFonts w:ascii="Noto Sans" w:hAnsi="Noto Sans" w:cs="Noto Sans"/>
          <w:sz w:val="20"/>
          <w:szCs w:val="20"/>
        </w:rPr>
        <w:t xml:space="preserve">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8E79BDF" w14:textId="77777777" w:rsidR="00E352C2" w:rsidRPr="00E352C2" w:rsidRDefault="00E352C2" w:rsidP="00E352C2">
      <w:pPr>
        <w:spacing w:after="40" w:line="240" w:lineRule="auto"/>
        <w:rPr>
          <w:rFonts w:ascii="Noto Sans" w:hAnsi="Noto Sans" w:cs="Noto Sans"/>
          <w:sz w:val="20"/>
          <w:szCs w:val="20"/>
        </w:rPr>
      </w:pPr>
    </w:p>
    <w:p w14:paraId="37E90FA3" w14:textId="26092827" w:rsidR="00E352C2" w:rsidRPr="00551E65" w:rsidRDefault="00E352C2" w:rsidP="00551E65">
      <w:pPr>
        <w:pStyle w:val="callout2"/>
      </w:pPr>
      <w:r w:rsidRPr="00551E65">
        <w:rPr>
          <w:rStyle w:val="orangenoteChar"/>
          <w:b w:val="0"/>
          <w:smallCaps w:val="0"/>
          <w:color w:val="262626"/>
          <w:sz w:val="18"/>
          <w:szCs w:val="18"/>
        </w:rPr>
        <w:t>Sri Lanka settings.</w:t>
      </w:r>
      <w:r w:rsidRPr="00551E65">
        <w:t xml:space="preserve"> Create lags 1–6 for </w:t>
      </w:r>
      <w:proofErr w:type="spellStart"/>
      <w:r w:rsidRPr="00551E65">
        <w:t>precip_tp_sum_week</w:t>
      </w:r>
      <w:proofErr w:type="spellEnd"/>
      <w:r w:rsidRPr="00551E65">
        <w:t xml:space="preserve">, </w:t>
      </w:r>
      <w:proofErr w:type="spellStart"/>
      <w:r w:rsidRPr="00551E65">
        <w:t>precip_mtpr_sum_week</w:t>
      </w:r>
      <w:proofErr w:type="spellEnd"/>
      <w:r w:rsidRPr="00551E65">
        <w:t xml:space="preserve">, </w:t>
      </w:r>
      <w:proofErr w:type="spellStart"/>
      <w:r w:rsidRPr="00551E65">
        <w:t>tmean_mean</w:t>
      </w:r>
      <w:proofErr w:type="spellEnd"/>
      <w:r w:rsidRPr="00551E65">
        <w:t xml:space="preserve">, and </w:t>
      </w:r>
      <w:proofErr w:type="spellStart"/>
      <w:r w:rsidRPr="00551E65">
        <w:t>vpd_mean_week</w:t>
      </w:r>
      <w:proofErr w:type="spellEnd"/>
      <w:r w:rsidRPr="00551E65">
        <w:t xml:space="preserve">; rolling features as above; and EWAP on </w:t>
      </w:r>
      <w:proofErr w:type="spellStart"/>
      <w:r w:rsidRPr="00551E65">
        <w:t>tp</w:t>
      </w:r>
      <w:proofErr w:type="spellEnd"/>
      <w:r w:rsidRPr="00551E65">
        <w:t xml:space="preserve"> and </w:t>
      </w:r>
      <w:proofErr w:type="spellStart"/>
      <w:r w:rsidRPr="00551E65">
        <w:t>mtpr</w:t>
      </w:r>
      <w:proofErr w:type="spellEnd"/>
      <w:r w:rsidRPr="00551E65">
        <w:t xml:space="preserve"> with α </w:t>
      </w:r>
      <w:r w:rsidRPr="00551E65">
        <w:rPr>
          <w:rFonts w:ascii="Cambria Math" w:hAnsi="Cambria Math" w:cs="Cambria Math"/>
        </w:rPr>
        <w:t>∈</w:t>
      </w:r>
      <w:r w:rsidRPr="00551E65">
        <w:t xml:space="preserve"> {0.7, 0.8, 0.9} and K </w:t>
      </w:r>
      <w:r w:rsidRPr="00551E65">
        <w:rPr>
          <w:rFonts w:ascii="Cambria Math" w:hAnsi="Cambria Math" w:cs="Cambria Math"/>
        </w:rPr>
        <w:t>∈</w:t>
      </w:r>
      <w:r w:rsidRPr="00551E65">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Avoid pairing RH and VPD; treat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vs integrated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primarily as cross-checks; with large, correlated feature sets consider penalization (LASSO/elastic net) or stability selection (</w:t>
      </w:r>
      <w:proofErr w:type="spellStart"/>
      <w:r w:rsidRPr="00535BC8">
        <w:rPr>
          <w:rFonts w:ascii="Noto Sans" w:hAnsi="Noto Sans" w:cs="Noto Sans"/>
          <w:sz w:val="20"/>
          <w:szCs w:val="20"/>
        </w:rPr>
        <w:t>Tibshirani</w:t>
      </w:r>
      <w:proofErr w:type="spellEnd"/>
      <w:r w:rsidRPr="00535BC8">
        <w:rPr>
          <w:rFonts w:ascii="Noto Sans" w:hAnsi="Noto Sans" w:cs="Noto Sans"/>
          <w:sz w:val="20"/>
          <w:szCs w:val="20"/>
        </w:rPr>
        <w:t xml:space="preserve">, 1996; Zou &amp; Hastie, 2005; </w:t>
      </w:r>
      <w:proofErr w:type="spellStart"/>
      <w:r w:rsidRPr="00535BC8">
        <w:rPr>
          <w:rFonts w:ascii="Noto Sans" w:hAnsi="Noto Sans" w:cs="Noto Sans"/>
          <w:sz w:val="20"/>
          <w:szCs w:val="20"/>
        </w:rPr>
        <w:t>Meinshausen</w:t>
      </w:r>
      <w:proofErr w:type="spellEnd"/>
      <w:r w:rsidRPr="00535BC8">
        <w:rPr>
          <w:rFonts w:ascii="Noto Sans" w:hAnsi="Noto Sans" w:cs="Noto Sans"/>
          <w:sz w:val="20"/>
          <w:szCs w:val="20"/>
        </w:rPr>
        <w:t xml:space="preserve"> &amp; </w:t>
      </w:r>
      <w:proofErr w:type="spellStart"/>
      <w:r w:rsidRPr="00535BC8">
        <w:rPr>
          <w:rFonts w:ascii="Noto Sans" w:hAnsi="Noto Sans" w:cs="Noto Sans"/>
          <w:sz w:val="20"/>
          <w:szCs w:val="20"/>
        </w:rPr>
        <w:t>Bühlmann</w:t>
      </w:r>
      <w:proofErr w:type="spellEnd"/>
      <w:r w:rsidRPr="00535BC8">
        <w:rPr>
          <w:rFonts w:ascii="Noto Sans" w:hAnsi="Noto Sans" w:cs="Noto Sans"/>
          <w:sz w:val="20"/>
          <w:szCs w:val="20"/>
        </w:rPr>
        <w:t>,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Build weekly base features (Section 5) and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Preserve exact naming per </w:t>
      </w:r>
      <w:proofErr w:type="gramStart"/>
      <w:r w:rsidRPr="00535BC8">
        <w:rPr>
          <w:rFonts w:ascii="Noto Sans" w:hAnsi="Noto Sans" w:cs="Noto Sans"/>
          <w:sz w:val="20"/>
          <w:szCs w:val="20"/>
        </w:rPr>
        <w:t>the dictionary</w:t>
      </w:r>
      <w:proofErr w:type="gramEnd"/>
      <w:r w:rsidRPr="00535BC8">
        <w:rPr>
          <w:rFonts w:ascii="Noto Sans" w:hAnsi="Noto Sans" w:cs="Noto Sans"/>
          <w:sz w:val="20"/>
          <w:szCs w:val="20"/>
        </w:rPr>
        <w:t xml:space="preserve">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Cross-source check. Compare ERA5 weekly precipitation totals against station-derived weekly totals in a few districts. Perfect agreement is not expected; order-of-magnitude mismatches usually </w:t>
      </w:r>
      <w:r w:rsidRPr="00535BC8">
        <w:rPr>
          <w:rFonts w:ascii="Noto Sans" w:hAnsi="Noto Sans" w:cs="Noto Sans"/>
          <w:sz w:val="20"/>
          <w:szCs w:val="20"/>
        </w:rPr>
        <w:lastRenderedPageBreak/>
        <w:t>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551E65">
      <w:pPr>
        <w:pStyle w:val="callout2"/>
      </w:pPr>
      <w:r w:rsidRPr="00535BC8">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w:t>
      </w:r>
      <w:proofErr w:type="spellStart"/>
      <w:r w:rsidRPr="00535BC8">
        <w:rPr>
          <w:rFonts w:ascii="Noto Sans" w:hAnsi="Noto Sans" w:cs="Noto Sans"/>
          <w:sz w:val="20"/>
          <w:szCs w:val="20"/>
        </w:rPr>
        <w:t>Bergmeir</w:t>
      </w:r>
      <w:proofErr w:type="spellEnd"/>
      <w:r w:rsidRPr="00535BC8">
        <w:rPr>
          <w:rFonts w:ascii="Noto Sans" w:hAnsi="Noto Sans" w:cs="Noto Sans"/>
          <w:sz w:val="20"/>
          <w:szCs w:val="20"/>
        </w:rPr>
        <w:t xml:space="preserve">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xml:space="preserve">. Assigning gridded exposures to districts induces spatial misalignment; classical error tends to attenuate coefficients; Berkson error inflates variance. Area-weighted overlays reduce, but do not eliminate, this issue; results may depend on aggregation units (Carroll et al., 2006; </w:t>
      </w:r>
      <w:proofErr w:type="spellStart"/>
      <w:r w:rsidRPr="00535BC8">
        <w:rPr>
          <w:rFonts w:ascii="Noto Sans" w:hAnsi="Noto Sans" w:cs="Noto Sans"/>
          <w:sz w:val="20"/>
          <w:szCs w:val="20"/>
        </w:rPr>
        <w:t>Gryparis</w:t>
      </w:r>
      <w:proofErr w:type="spellEnd"/>
      <w:r w:rsidRPr="00535BC8">
        <w:rPr>
          <w:rFonts w:ascii="Noto Sans" w:hAnsi="Noto Sans" w:cs="Noto Sans"/>
          <w:sz w:val="20"/>
          <w:szCs w:val="20"/>
        </w:rPr>
        <w:t xml:space="preserve">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47331A" w:rsidRDefault="00535BC8" w:rsidP="00551E65">
      <w:pPr>
        <w:pStyle w:val="callout2"/>
      </w:pPr>
      <w:r w:rsidRPr="0047331A">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Localize time: convert ERA5 hours </w:t>
      </w:r>
      <w:proofErr w:type="spellStart"/>
      <w:r w:rsidRPr="00535BC8">
        <w:rPr>
          <w:rFonts w:ascii="Noto Sans" w:hAnsi="Noto Sans" w:cs="Noto Sans"/>
          <w:sz w:val="20"/>
          <w:szCs w:val="20"/>
        </w:rPr>
        <w:t>UTC→Asia</w:t>
      </w:r>
      <w:proofErr w:type="spellEnd"/>
      <w:r w:rsidRPr="00535BC8">
        <w:rPr>
          <w:rFonts w:ascii="Noto Sans" w:hAnsi="Noto Sans" w:cs="Noto Sans"/>
          <w:sz w:val="20"/>
          <w:szCs w:val="20"/>
        </w:rPr>
        <w:t>/Colombo.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Cell-day statistics: daily means for t2m, RH, VPD, </w:t>
      </w:r>
      <w:proofErr w:type="spellStart"/>
      <w:r w:rsidRPr="00535BC8">
        <w:rPr>
          <w:rFonts w:ascii="Noto Sans" w:hAnsi="Noto Sans" w:cs="Noto Sans"/>
          <w:sz w:val="20"/>
          <w:szCs w:val="20"/>
        </w:rPr>
        <w:t>ssrd</w:t>
      </w:r>
      <w:proofErr w:type="spellEnd"/>
      <w:r w:rsidRPr="00535BC8">
        <w:rPr>
          <w:rFonts w:ascii="Noto Sans" w:hAnsi="Noto Sans" w:cs="Noto Sans"/>
          <w:sz w:val="20"/>
          <w:szCs w:val="20"/>
        </w:rPr>
        <w:t xml:space="preserve">; daily min/max for temperature; sum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m→mm</w:t>
      </w:r>
      <w:proofErr w:type="spellEnd"/>
      <w:r w:rsidRPr="00535BC8">
        <w:rPr>
          <w:rFonts w:ascii="Noto Sans" w:hAnsi="Noto Sans" w:cs="Noto Sans"/>
          <w:sz w:val="20"/>
          <w:szCs w:val="20"/>
        </w:rPr>
        <w:t xml:space="preserve">) and integrate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lastRenderedPageBreak/>
        <w:t xml:space="preserve">Area-weight to district-day: apply EPSG:6933 </w:t>
      </w:r>
      <w:proofErr w:type="gramStart"/>
      <w:r w:rsidRPr="00535BC8">
        <w:rPr>
          <w:rFonts w:ascii="Noto Sans" w:hAnsi="Noto Sans" w:cs="Noto Sans"/>
          <w:sz w:val="20"/>
          <w:szCs w:val="20"/>
        </w:rPr>
        <w:t>weights</w:t>
      </w:r>
      <w:proofErr w:type="gramEnd"/>
      <w:r w:rsidRPr="00535BC8">
        <w:rPr>
          <w:rFonts w:ascii="Noto Sans" w:hAnsi="Noto Sans" w:cs="Noto Sans"/>
          <w:sz w:val="20"/>
          <w:szCs w:val="20"/>
        </w:rPr>
        <w:t>;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Weekly features: total precipitation (</w:t>
      </w:r>
      <w:proofErr w:type="spellStart"/>
      <w:r w:rsidRPr="00535BC8">
        <w:rPr>
          <w:rFonts w:ascii="Noto Sans" w:hAnsi="Noto Sans" w:cs="Noto Sans"/>
          <w:sz w:val="20"/>
          <w:szCs w:val="20"/>
        </w:rPr>
        <w:t>precip_tp_sum_week</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precip_mtpr_sum_week</w:t>
      </w:r>
      <w:proofErr w:type="spellEnd"/>
      <w:r w:rsidRPr="00535BC8">
        <w:rPr>
          <w:rFonts w:ascii="Noto Sans" w:hAnsi="Noto Sans" w:cs="Noto Sans"/>
          <w:sz w:val="20"/>
          <w:szCs w:val="20"/>
        </w:rPr>
        <w:t xml:space="preserve">); wet days (≥10 mm); longest wet spell; max 3-day total;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lastRenderedPageBreak/>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ERA5 reanalysis at hourly resolution on a ~0.25° grid. Variables include air temperature (ta), dew point (td), wind, downward shortwave radiation (</w:t>
      </w:r>
      <w:proofErr w:type="spellStart"/>
      <w:r w:rsidRPr="007461E2">
        <w:rPr>
          <w:rFonts w:ascii="Noto Sans" w:hAnsi="Noto Sans" w:cs="Noto Sans"/>
          <w:sz w:val="20"/>
          <w:szCs w:val="20"/>
        </w:rPr>
        <w:t>ssrd</w:t>
      </w:r>
      <w:proofErr w:type="spellEnd"/>
      <w:r w:rsidRPr="007461E2">
        <w:rPr>
          <w:rFonts w:ascii="Noto Sans" w:hAnsi="Noto Sans" w:cs="Noto Sans"/>
          <w:sz w:val="20"/>
          <w:szCs w:val="20"/>
        </w:rPr>
        <w:t xml:space="preserve">),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tp</w:t>
      </w:r>
      <w:proofErr w:type="spellEnd"/>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mtpr</w:t>
      </w:r>
      <w:proofErr w:type="spellEnd"/>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 xml:space="preserve">equal-area </w:t>
      </w:r>
      <w:proofErr w:type="gramStart"/>
      <w:r w:rsidRPr="007461E2">
        <w:rPr>
          <w:rFonts w:ascii="Noto Sans" w:hAnsi="Noto Sans" w:cs="Noto Sans"/>
          <w:b/>
          <w:bCs/>
          <w:sz w:val="20"/>
          <w:szCs w:val="20"/>
        </w:rPr>
        <w:t>projection</w:t>
      </w:r>
      <w:proofErr w:type="gramEnd"/>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lastRenderedPageBreak/>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 xml:space="preserve">Construct polygons for grid cells from center coordinates; intersect with district polygons in an equal-area coordinate reference system (e.g., EPSG:6933) and compute overlap area (m²). Store those </w:t>
      </w:r>
      <w:proofErr w:type="spellStart"/>
      <w:r w:rsidRPr="009D7A9D">
        <w:t>cell→district</w:t>
      </w:r>
      <w:proofErr w:type="spellEnd"/>
      <w:r w:rsidRPr="009D7A9D">
        <w:t xml:space="preserve">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w:t>
      </w:r>
      <w:proofErr w:type="gramStart"/>
      <w:r w:rsidRPr="009D7A9D">
        <w:t>6 week</w:t>
      </w:r>
      <w:proofErr w:type="gramEnd"/>
      <w:r w:rsidRPr="009D7A9D">
        <w:t xml:space="preserve">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 xml:space="preserve">Harmonize district names across data sources, merge weekly climate features to WER case counts by district and </w:t>
      </w:r>
      <w:proofErr w:type="gramStart"/>
      <w:r w:rsidRPr="009D7A9D">
        <w:t>week, and</w:t>
      </w:r>
      <w:proofErr w:type="gramEnd"/>
      <w:r w:rsidRPr="009D7A9D">
        <w:t xml:space="preserve">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proofErr w:type="spellStart"/>
      <w:r w:rsidRPr="008E6BCB">
        <w:t>ta_mean</w:t>
      </w:r>
      <w:proofErr w:type="spellEnd"/>
      <w:r w:rsidRPr="008E6BCB">
        <w:t xml:space="preserve">, </w:t>
      </w:r>
      <w:proofErr w:type="spellStart"/>
      <w:r w:rsidRPr="008E6BCB">
        <w:t>ta_min</w:t>
      </w:r>
      <w:proofErr w:type="spellEnd"/>
      <w:r w:rsidRPr="008E6BCB">
        <w:t xml:space="preserve">, </w:t>
      </w:r>
      <w:proofErr w:type="spellStart"/>
      <w:r w:rsidRPr="008E6BCB">
        <w:t>ta_max</w:t>
      </w:r>
      <w:proofErr w:type="spellEnd"/>
      <w:r w:rsidRPr="008E6BCB">
        <w:t>: Temperature variables (°C)</w:t>
      </w:r>
    </w:p>
    <w:p w14:paraId="39C7D878" w14:textId="77777777" w:rsidR="009806ED" w:rsidRPr="008E6BCB" w:rsidRDefault="009806ED" w:rsidP="00E352C2">
      <w:pPr>
        <w:numPr>
          <w:ilvl w:val="0"/>
          <w:numId w:val="12"/>
        </w:numPr>
        <w:spacing w:after="0" w:line="240" w:lineRule="auto"/>
      </w:pPr>
      <w:proofErr w:type="spellStart"/>
      <w:r w:rsidRPr="008E6BCB">
        <w:t>td_mean</w:t>
      </w:r>
      <w:proofErr w:type="spellEnd"/>
      <w:r w:rsidRPr="008E6BCB">
        <w:t>: Dew point temperature (°C)</w:t>
      </w:r>
    </w:p>
    <w:p w14:paraId="42C8366E" w14:textId="77777777" w:rsidR="009806ED" w:rsidRPr="008E6BCB" w:rsidRDefault="009806ED" w:rsidP="00E352C2">
      <w:pPr>
        <w:numPr>
          <w:ilvl w:val="0"/>
          <w:numId w:val="12"/>
        </w:numPr>
        <w:spacing w:after="0" w:line="240" w:lineRule="auto"/>
      </w:pPr>
      <w:proofErr w:type="spellStart"/>
      <w:r w:rsidRPr="008E6BCB">
        <w:t>rh_mean</w:t>
      </w:r>
      <w:proofErr w:type="spellEnd"/>
      <w:r w:rsidRPr="008E6BCB">
        <w:t>: Relative humidity (%)</w:t>
      </w:r>
    </w:p>
    <w:p w14:paraId="15DCF4B4" w14:textId="77777777" w:rsidR="009806ED" w:rsidRPr="008E6BCB" w:rsidRDefault="009806ED" w:rsidP="00E352C2">
      <w:pPr>
        <w:numPr>
          <w:ilvl w:val="0"/>
          <w:numId w:val="12"/>
        </w:numPr>
        <w:spacing w:after="0" w:line="240" w:lineRule="auto"/>
      </w:pPr>
      <w:proofErr w:type="spellStart"/>
      <w:r w:rsidRPr="008E6BCB">
        <w:t>vpd_mean</w:t>
      </w:r>
      <w:proofErr w:type="spellEnd"/>
      <w:r w:rsidRPr="008E6BCB">
        <w:t>: Vapor pressure deficit (kPa)</w:t>
      </w:r>
    </w:p>
    <w:p w14:paraId="58A44F97" w14:textId="77777777" w:rsidR="009806ED" w:rsidRPr="008E6BCB" w:rsidRDefault="009806ED" w:rsidP="00E352C2">
      <w:pPr>
        <w:numPr>
          <w:ilvl w:val="0"/>
          <w:numId w:val="12"/>
        </w:numPr>
        <w:spacing w:after="0" w:line="240" w:lineRule="auto"/>
      </w:pPr>
      <w:proofErr w:type="spellStart"/>
      <w:r w:rsidRPr="008E6BCB">
        <w:t>wbgt_mean</w:t>
      </w:r>
      <w:proofErr w:type="spellEnd"/>
      <w:r w:rsidRPr="008E6BCB">
        <w:t>: Wet bulb globe temperature (°C, when available)</w:t>
      </w:r>
    </w:p>
    <w:p w14:paraId="328E4885" w14:textId="77777777" w:rsidR="009806ED" w:rsidRPr="008E6BCB" w:rsidRDefault="009806ED" w:rsidP="00E352C2">
      <w:pPr>
        <w:numPr>
          <w:ilvl w:val="0"/>
          <w:numId w:val="12"/>
        </w:numPr>
        <w:spacing w:after="0" w:line="240" w:lineRule="auto"/>
      </w:pPr>
      <w:proofErr w:type="spellStart"/>
      <w:r w:rsidRPr="008E6BCB">
        <w:t>ssrd_MJ_mean</w:t>
      </w:r>
      <w:proofErr w:type="spellEnd"/>
      <w:r w:rsidRPr="008E6BCB">
        <w:t>: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proofErr w:type="spellStart"/>
      <w:r w:rsidRPr="008E6BCB">
        <w:lastRenderedPageBreak/>
        <w:t>tp_sum</w:t>
      </w:r>
      <w:proofErr w:type="spellEnd"/>
      <w:r w:rsidRPr="008E6BCB">
        <w:t xml:space="preserve">, </w:t>
      </w:r>
      <w:proofErr w:type="spellStart"/>
      <w:r w:rsidRPr="008E6BCB">
        <w:t>mtpr_sum</w:t>
      </w:r>
      <w:proofErr w:type="spellEnd"/>
      <w:r w:rsidRPr="008E6BCB">
        <w:t>: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tmean_mean</w:t>
      </w:r>
      <w:proofErr w:type="spellEnd"/>
      <w:r w:rsidRPr="00E352C2">
        <w:t>: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tmax_mean</w:t>
      </w:r>
      <w:proofErr w:type="spellEnd"/>
      <w:r w:rsidRPr="00E352C2">
        <w:t>: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tmax_range</w:t>
      </w:r>
      <w:proofErr w:type="spellEnd"/>
      <w:r w:rsidRPr="00E352C2">
        <w:t>: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proofErr w:type="spellStart"/>
      <w:r w:rsidRPr="00E352C2">
        <w:t>rh_mean_week</w:t>
      </w:r>
      <w:proofErr w:type="spellEnd"/>
      <w:r w:rsidRPr="00E352C2">
        <w:t>: Weekly mean relative humidity</w:t>
      </w:r>
    </w:p>
    <w:p w14:paraId="5D8513FD" w14:textId="77777777" w:rsidR="009806ED" w:rsidRPr="00E352C2" w:rsidRDefault="009806ED" w:rsidP="00E352C2">
      <w:pPr>
        <w:numPr>
          <w:ilvl w:val="0"/>
          <w:numId w:val="14"/>
        </w:numPr>
        <w:spacing w:after="0" w:line="240" w:lineRule="auto"/>
        <w:ind w:left="1440"/>
      </w:pPr>
      <w:proofErr w:type="spellStart"/>
      <w:r w:rsidRPr="00E352C2">
        <w:t>vpd_mean_week</w:t>
      </w:r>
      <w:proofErr w:type="spellEnd"/>
      <w:r w:rsidRPr="00E352C2">
        <w:t>: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proofErr w:type="spellStart"/>
      <w:r w:rsidRPr="00E352C2">
        <w:t>ssrd_MJ_mean_week</w:t>
      </w:r>
      <w:proofErr w:type="spellEnd"/>
      <w:r w:rsidRPr="00E352C2">
        <w:t>: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precip_tp_sum_week</w:t>
      </w:r>
      <w:proofErr w:type="spellEnd"/>
      <w:r w:rsidRPr="00E352C2">
        <w:t xml:space="preserve">, </w:t>
      </w:r>
      <w:proofErr w:type="spellStart"/>
      <w:r w:rsidRPr="00E352C2">
        <w:t>precip_mtpr_sum_week</w:t>
      </w:r>
      <w:proofErr w:type="spellEnd"/>
      <w:r w:rsidRPr="00E352C2">
        <w:t>: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wet_spell_maxlen_tp</w:t>
      </w:r>
      <w:proofErr w:type="spellEnd"/>
      <w:r w:rsidRPr="00E352C2">
        <w:t>: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proofErr w:type="spellStart"/>
      <w:r w:rsidRPr="00E352C2">
        <w:t>n_days_week</w:t>
      </w:r>
      <w:proofErr w:type="spellEnd"/>
      <w:r w:rsidRPr="00E352C2">
        <w:t>: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w:t>
      </w:r>
      <w:proofErr w:type="spellStart"/>
      <w:r w:rsidRPr="009D7A9D">
        <w:t>anom</w:t>
      </w:r>
      <w:proofErr w:type="spellEnd"/>
      <w:r w:rsidRPr="009D7A9D">
        <w:t>: Anomaly (observed minus climatology)</w:t>
      </w:r>
    </w:p>
    <w:p w14:paraId="594C5674" w14:textId="77777777" w:rsidR="009806ED" w:rsidRPr="009D7A9D" w:rsidRDefault="009806ED" w:rsidP="00E352C2">
      <w:pPr>
        <w:numPr>
          <w:ilvl w:val="0"/>
          <w:numId w:val="18"/>
        </w:numPr>
        <w:spacing w:after="0" w:line="240" w:lineRule="auto"/>
      </w:pPr>
      <w:r w:rsidRPr="009D7A9D">
        <w:t>*_</w:t>
      </w:r>
      <w:proofErr w:type="spellStart"/>
      <w:r w:rsidRPr="009D7A9D">
        <w:t>pct_normal</w:t>
      </w:r>
      <w:proofErr w:type="spellEnd"/>
      <w:r w:rsidRPr="009D7A9D">
        <w:t>: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 xml:space="preserve">*_lag1 through *_lag6: </w:t>
      </w:r>
      <w:proofErr w:type="gramStart"/>
      <w:r w:rsidRPr="009D7A9D">
        <w:t>1-6 week</w:t>
      </w:r>
      <w:proofErr w:type="gramEnd"/>
      <w:r w:rsidRPr="009D7A9D">
        <w:t xml:space="preserve">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proofErr w:type="spellStart"/>
      <w:r w:rsidRPr="009D7A9D">
        <w:t>ewap_tp</w:t>
      </w:r>
      <w:proofErr w:type="spellEnd"/>
      <w:r w:rsidRPr="009D7A9D">
        <w:t xml:space="preserve">, </w:t>
      </w:r>
      <w:proofErr w:type="spellStart"/>
      <w:r w:rsidRPr="009D7A9D">
        <w:t>ewap_mtpr</w:t>
      </w:r>
      <w:proofErr w:type="spellEnd"/>
      <w:r w:rsidRPr="009D7A9D">
        <w:t>: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proofErr w:type="spellStart"/>
      <w:r w:rsidRPr="009D7A9D">
        <w:t>date_start</w:t>
      </w:r>
      <w:proofErr w:type="spellEnd"/>
      <w:r w:rsidRPr="009D7A9D">
        <w:t xml:space="preserve">, </w:t>
      </w:r>
      <w:proofErr w:type="spellStart"/>
      <w:r w:rsidRPr="009D7A9D">
        <w:t>date_end</w:t>
      </w:r>
      <w:proofErr w:type="spellEnd"/>
      <w:r w:rsidRPr="009D7A9D">
        <w:t>: Epidemiological week boundaries</w:t>
      </w:r>
    </w:p>
    <w:p w14:paraId="4FF55AC4" w14:textId="77777777" w:rsidR="009806ED" w:rsidRDefault="009806ED" w:rsidP="00E352C2">
      <w:pPr>
        <w:numPr>
          <w:ilvl w:val="0"/>
          <w:numId w:val="20"/>
        </w:numPr>
        <w:spacing w:after="0" w:line="240" w:lineRule="auto"/>
      </w:pPr>
      <w:r w:rsidRPr="009D7A9D">
        <w:t xml:space="preserve">year, </w:t>
      </w:r>
      <w:proofErr w:type="spellStart"/>
      <w:r w:rsidRPr="009D7A9D">
        <w:t>week_of_year</w:t>
      </w:r>
      <w:proofErr w:type="spellEnd"/>
      <w:r w:rsidRPr="009D7A9D">
        <w:t>: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lastRenderedPageBreak/>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lastRenderedPageBreak/>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w:t>
            </w:r>
            <w:proofErr w:type="spellStart"/>
            <w:r w:rsidRPr="007461E2">
              <w:rPr>
                <w:rFonts w:ascii="Aptos Narrow" w:eastAsia="Times New Roman" w:hAnsi="Aptos Narrow" w:cs="Times New Roman"/>
                <w:color w:val="000000"/>
                <w:kern w:val="0"/>
                <w:sz w:val="22"/>
                <w:szCs w:val="22"/>
                <w14:ligatures w14:val="none"/>
              </w:rPr>
              <w:t>hr</w:t>
            </w:r>
            <w:proofErr w:type="spellEnd"/>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 xml:space="preserve">Drives dispersion of vectors and airborne </w:t>
            </w:r>
            <w:proofErr w:type="gramStart"/>
            <w:r w:rsidRPr="007461E2">
              <w:rPr>
                <w:rFonts w:ascii="Aptos Narrow" w:eastAsia="Times New Roman" w:hAnsi="Aptos Narrow" w:cs="Times New Roman"/>
                <w:color w:val="000000"/>
                <w:kern w:val="0"/>
                <w:sz w:val="22"/>
                <w:szCs w:val="22"/>
                <w14:ligatures w14:val="none"/>
              </w:rPr>
              <w:t>pathogens;</w:t>
            </w:r>
            <w:proofErr w:type="gramEnd"/>
            <w:r w:rsidRPr="007461E2">
              <w:rPr>
                <w:rFonts w:ascii="Aptos Narrow" w:eastAsia="Times New Roman" w:hAnsi="Aptos Narrow" w:cs="Times New Roman"/>
                <w:color w:val="000000"/>
                <w:kern w:val="0"/>
                <w:sz w:val="22"/>
                <w:szCs w:val="22"/>
                <w14:ligatures w14:val="none"/>
              </w:rPr>
              <w:t xml:space="preserve">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w:t>
      </w:r>
      <w:proofErr w:type="gramStart"/>
      <w:r w:rsidRPr="007461E2">
        <w:rPr>
          <w:rFonts w:ascii="Noto Sans" w:hAnsi="Noto Sans" w:cs="Noto Sans"/>
          <w:sz w:val="20"/>
          <w:szCs w:val="20"/>
        </w:rPr>
        <w:t>dry-bulb</w:t>
      </w:r>
      <w:proofErr w:type="gramEnd"/>
      <w:r w:rsidRPr="007461E2">
        <w:rPr>
          <w:rFonts w:ascii="Noto Sans" w:hAnsi="Noto Sans" w:cs="Noto Sans"/>
          <w:sz w:val="20"/>
          <w:szCs w:val="20"/>
        </w:rPr>
        <w:t>”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w:t>
      </w:r>
      <w:proofErr w:type="gramStart"/>
      <w:r w:rsidRPr="007461E2">
        <w:rPr>
          <w:rFonts w:ascii="Noto Sans" w:hAnsi="Noto Sans" w:cs="Noto Sans"/>
          <w:sz w:val="20"/>
          <w:szCs w:val="20"/>
        </w:rPr>
        <w:t>hourly</w:t>
      </w:r>
      <w:proofErr w:type="gramEnd"/>
      <w:r w:rsidRPr="007461E2">
        <w:rPr>
          <w:rFonts w:ascii="Noto Sans" w:hAnsi="Noto Sans" w:cs="Noto Sans"/>
          <w:sz w:val="20"/>
          <w:szCs w:val="20"/>
        </w:rPr>
        <w:t xml:space="preserve">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r>
      <w:r w:rsidRPr="007461E2">
        <w:rPr>
          <w:rFonts w:ascii="Noto Sans" w:hAnsi="Noto Sans" w:cs="Noto Sans"/>
          <w:sz w:val="20"/>
          <w:szCs w:val="20"/>
        </w:rPr>
        <w:lastRenderedPageBreak/>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lastRenderedPageBreak/>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w:t>
      </w:r>
      <w:proofErr w:type="gramStart"/>
      <w:r w:rsidRPr="007461E2">
        <w:rPr>
          <w:rFonts w:ascii="Noto Sans" w:hAnsi="Noto Sans" w:cs="Noto Sans"/>
          <w:sz w:val="20"/>
          <w:szCs w:val="20"/>
        </w:rPr>
        <w:t>reanalysis</w:t>
      </w:r>
      <w:proofErr w:type="gramEnd"/>
      <w:r w:rsidRPr="007461E2">
        <w:rPr>
          <w:rFonts w:ascii="Noto Sans" w:hAnsi="Noto Sans" w:cs="Noto Sans"/>
          <w:sz w:val="20"/>
          <w:szCs w:val="20"/>
        </w:rPr>
        <w:t xml:space="preserve">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Pr="007461E2" w:rsidRDefault="007461E2"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lastRenderedPageBreak/>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xml:space="preserve">• ERA5 radiation estimates are </w:t>
      </w:r>
      <w:proofErr w:type="gramStart"/>
      <w:r w:rsidRPr="007461E2">
        <w:rPr>
          <w:rFonts w:ascii="Noto Sans" w:hAnsi="Noto Sans" w:cs="Noto Sans"/>
          <w:sz w:val="20"/>
          <w:szCs w:val="20"/>
        </w:rPr>
        <w:t>model-based</w:t>
      </w:r>
      <w:proofErr w:type="gramEnd"/>
      <w:r w:rsidRPr="007461E2">
        <w:rPr>
          <w:rFonts w:ascii="Noto Sans" w:hAnsi="Noto Sans" w:cs="Noto Sans"/>
          <w:sz w:val="20"/>
          <w:szCs w:val="20"/>
        </w:rPr>
        <w:t>,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 xml:space="preserve">¹), instantaneous hourly. Wind speed is </w:t>
      </w:r>
      <w:proofErr w:type="gramStart"/>
      <w:r w:rsidRPr="007461E2">
        <w:rPr>
          <w:rFonts w:ascii="Noto Sans" w:hAnsi="Noto Sans" w:cs="Noto Sans"/>
          <w:sz w:val="20"/>
          <w:szCs w:val="20"/>
        </w:rPr>
        <w:t>√(</w:t>
      </w:r>
      <w:proofErr w:type="gramEnd"/>
      <w:r w:rsidRPr="007461E2">
        <w:rPr>
          <w:rFonts w:ascii="Noto Sans" w:hAnsi="Noto Sans" w:cs="Noto Sans"/>
          <w:sz w:val="20"/>
          <w:szCs w:val="20"/>
        </w:rPr>
        <w:t>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r>
      <w:r w:rsidRPr="007461E2">
        <w:rPr>
          <w:rFonts w:ascii="Noto Sans" w:hAnsi="Noto Sans" w:cs="Noto Sans"/>
          <w:sz w:val="20"/>
          <w:szCs w:val="20"/>
        </w:rPr>
        <w:lastRenderedPageBreak/>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lastRenderedPageBreak/>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Bergmeir</w:t>
      </w:r>
      <w:proofErr w:type="spellEnd"/>
      <w:r w:rsidRPr="00FF4BA2">
        <w:rPr>
          <w:rFonts w:ascii="Noto Sans" w:hAnsi="Noto Sans" w:cs="Noto Sans"/>
          <w:sz w:val="20"/>
          <w:szCs w:val="20"/>
        </w:rPr>
        <w:t xml:space="preserve">,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w:t>
      </w:r>
      <w:proofErr w:type="spellStart"/>
      <w:r w:rsidRPr="00FF4BA2">
        <w:rPr>
          <w:rFonts w:ascii="Noto Sans" w:hAnsi="Noto Sans" w:cs="Noto Sans"/>
          <w:sz w:val="20"/>
          <w:szCs w:val="20"/>
        </w:rPr>
        <w:t>Crainiceanu</w:t>
      </w:r>
      <w:proofErr w:type="spellEnd"/>
      <w:r w:rsidRPr="00FF4BA2">
        <w:rPr>
          <w:rFonts w:ascii="Noto Sans" w:hAnsi="Noto Sans" w:cs="Noto Sans"/>
          <w:sz w:val="20"/>
          <w:szCs w:val="20"/>
        </w:rPr>
        <w:t xml:space="preserve">,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w:t>
      </w:r>
      <w:proofErr w:type="spellStart"/>
      <w:r w:rsidRPr="00FF4BA2">
        <w:rPr>
          <w:rFonts w:ascii="Noto Sans" w:hAnsi="Noto Sans" w:cs="Noto Sans"/>
          <w:sz w:val="20"/>
          <w:szCs w:val="20"/>
        </w:rPr>
        <w:t>Münkemüller</w:t>
      </w:r>
      <w:proofErr w:type="spellEnd"/>
      <w:r w:rsidRPr="00FF4BA2">
        <w:rPr>
          <w:rFonts w:ascii="Noto Sans" w:hAnsi="Noto Sans" w:cs="Noto Sans"/>
          <w:sz w:val="20"/>
          <w:szCs w:val="20"/>
        </w:rPr>
        <w:t xml:space="preserve">, T., McClean, C., Osborne, P. E., Reineking, B., Schröder, B., Skidmore, A. K., </w:t>
      </w:r>
      <w:proofErr w:type="spellStart"/>
      <w:r w:rsidRPr="00FF4BA2">
        <w:rPr>
          <w:rFonts w:ascii="Noto Sans" w:hAnsi="Noto Sans" w:cs="Noto Sans"/>
          <w:sz w:val="20"/>
          <w:szCs w:val="20"/>
        </w:rPr>
        <w:t>Zurell</w:t>
      </w:r>
      <w:proofErr w:type="spellEnd"/>
      <w:r w:rsidRPr="00FF4BA2">
        <w:rPr>
          <w:rFonts w:ascii="Noto Sans" w:hAnsi="Noto Sans" w:cs="Noto Sans"/>
          <w:sz w:val="20"/>
          <w:szCs w:val="20"/>
        </w:rPr>
        <w:t xml:space="preserve">, D., &amp; Lautenbach, S. (2013). Collinearity: A review of methods to deal with it and a simulation study evaluating their performance. </w:t>
      </w:r>
      <w:proofErr w:type="spellStart"/>
      <w:r w:rsidRPr="00FF4BA2">
        <w:rPr>
          <w:rFonts w:ascii="Noto Sans" w:hAnsi="Noto Sans" w:cs="Noto Sans"/>
          <w:i/>
          <w:iCs/>
          <w:sz w:val="20"/>
          <w:szCs w:val="20"/>
        </w:rPr>
        <w:t>Ecography</w:t>
      </w:r>
      <w:proofErr w:type="spellEnd"/>
      <w:r w:rsidRPr="00FF4BA2">
        <w:rPr>
          <w:rFonts w:ascii="Noto Sans" w:hAnsi="Noto Sans" w:cs="Noto Sans"/>
          <w:i/>
          <w:iCs/>
          <w:sz w:val="20"/>
          <w:szCs w:val="20"/>
        </w:rPr>
        <w:t>,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Gryparis</w:t>
      </w:r>
      <w:proofErr w:type="spellEnd"/>
      <w:r w:rsidRPr="00FF4BA2">
        <w:rPr>
          <w:rFonts w:ascii="Noto Sans" w:hAnsi="Noto Sans" w:cs="Noto Sans"/>
          <w:sz w:val="20"/>
          <w:szCs w:val="20"/>
        </w:rPr>
        <w:t xml:space="preserve">,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lastRenderedPageBreak/>
        <w:t>Meinshausen</w:t>
      </w:r>
      <w:proofErr w:type="spellEnd"/>
      <w:r w:rsidRPr="00FF4BA2">
        <w:rPr>
          <w:rFonts w:ascii="Noto Sans" w:hAnsi="Noto Sans" w:cs="Noto Sans"/>
          <w:sz w:val="20"/>
          <w:szCs w:val="20"/>
        </w:rPr>
        <w:t xml:space="preserve">, N., &amp; </w:t>
      </w:r>
      <w:proofErr w:type="spellStart"/>
      <w:r w:rsidRPr="00FF4BA2">
        <w:rPr>
          <w:rFonts w:ascii="Noto Sans" w:hAnsi="Noto Sans" w:cs="Noto Sans"/>
          <w:sz w:val="20"/>
          <w:szCs w:val="20"/>
        </w:rPr>
        <w:t>Bühlmann</w:t>
      </w:r>
      <w:proofErr w:type="spellEnd"/>
      <w:r w:rsidRPr="00FF4BA2">
        <w:rPr>
          <w:rFonts w:ascii="Noto Sans" w:hAnsi="Noto Sans" w:cs="Noto Sans"/>
          <w:sz w:val="20"/>
          <w:szCs w:val="20"/>
        </w:rPr>
        <w:t xml:space="preserve">,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w:t>
      </w:r>
      <w:proofErr w:type="spellStart"/>
      <w:r w:rsidRPr="00FF4BA2">
        <w:rPr>
          <w:rFonts w:ascii="Noto Sans" w:hAnsi="Noto Sans" w:cs="Noto Sans"/>
          <w:sz w:val="20"/>
          <w:szCs w:val="20"/>
        </w:rPr>
        <w:t>dasymetric</w:t>
      </w:r>
      <w:proofErr w:type="spellEnd"/>
      <w:r w:rsidRPr="00FF4BA2">
        <w:rPr>
          <w:rFonts w:ascii="Noto Sans" w:hAnsi="Noto Sans" w:cs="Noto Sans"/>
          <w:sz w:val="20"/>
          <w:szCs w:val="20"/>
        </w:rPr>
        <w:t xml:space="preserve">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w:t>
      </w:r>
      <w:proofErr w:type="spellStart"/>
      <w:r w:rsidRPr="00FF4BA2">
        <w:rPr>
          <w:rFonts w:ascii="Noto Sans" w:hAnsi="Noto Sans" w:cs="Noto Sans"/>
          <w:sz w:val="20"/>
          <w:szCs w:val="20"/>
        </w:rPr>
        <w:t>Hersbach</w:t>
      </w:r>
      <w:proofErr w:type="spellEnd"/>
      <w:r w:rsidRPr="00FF4BA2">
        <w:rPr>
          <w:rFonts w:ascii="Noto Sans" w:hAnsi="Noto Sans" w:cs="Noto Sans"/>
          <w:sz w:val="20"/>
          <w:szCs w:val="20"/>
        </w:rPr>
        <w:t xml:space="preserve">, H., Kobayashi, S., &amp; </w:t>
      </w:r>
      <w:proofErr w:type="spellStart"/>
      <w:r w:rsidRPr="00FF4BA2">
        <w:rPr>
          <w:rFonts w:ascii="Noto Sans" w:hAnsi="Noto Sans" w:cs="Noto Sans"/>
          <w:sz w:val="20"/>
          <w:szCs w:val="20"/>
        </w:rPr>
        <w:t>Peubey</w:t>
      </w:r>
      <w:proofErr w:type="spellEnd"/>
      <w:r w:rsidRPr="00FF4BA2">
        <w:rPr>
          <w:rFonts w:ascii="Noto Sans" w:hAnsi="Noto Sans" w:cs="Noto Sans"/>
          <w:sz w:val="20"/>
          <w:szCs w:val="20"/>
        </w:rPr>
        <w:t xml:space="preserve">, C. (2018). A reassessment of temperature variations and trends from global </w:t>
      </w:r>
      <w:proofErr w:type="spellStart"/>
      <w:r w:rsidRPr="00FF4BA2">
        <w:rPr>
          <w:rFonts w:ascii="Noto Sans" w:hAnsi="Noto Sans" w:cs="Noto Sans"/>
          <w:sz w:val="20"/>
          <w:szCs w:val="20"/>
        </w:rPr>
        <w:t>reanalyses</w:t>
      </w:r>
      <w:proofErr w:type="spellEnd"/>
      <w:r w:rsidRPr="00FF4BA2">
        <w:rPr>
          <w:rFonts w:ascii="Noto Sans" w:hAnsi="Noto Sans" w:cs="Noto Sans"/>
          <w:sz w:val="20"/>
          <w:szCs w:val="20"/>
        </w:rPr>
        <w:t xml:space="preserve">.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Tibshirani</w:t>
      </w:r>
      <w:proofErr w:type="spellEnd"/>
      <w:r w:rsidRPr="00FF4BA2">
        <w:rPr>
          <w:rFonts w:ascii="Noto Sans" w:hAnsi="Noto Sans" w:cs="Noto Sans"/>
          <w:sz w:val="20"/>
          <w:szCs w:val="20"/>
        </w:rPr>
        <w:t xml:space="preserve">,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Vatcheva</w:t>
      </w:r>
      <w:proofErr w:type="spellEnd"/>
      <w:r w:rsidRPr="00FF4BA2">
        <w:rPr>
          <w:rFonts w:ascii="Noto Sans" w:hAnsi="Noto Sans" w:cs="Noto Sans"/>
          <w:sz w:val="20"/>
          <w:szCs w:val="20"/>
        </w:rPr>
        <w:t xml:space="preserve">,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w:t>
      </w:r>
      <w:proofErr w:type="spellStart"/>
      <w:r w:rsidRPr="00FF4BA2">
        <w:rPr>
          <w:rFonts w:ascii="Noto Sans" w:hAnsi="Noto Sans" w:cs="Noto Sans"/>
          <w:sz w:val="20"/>
          <w:szCs w:val="20"/>
        </w:rPr>
        <w:t>Indermitte</w:t>
      </w:r>
      <w:proofErr w:type="spellEnd"/>
      <w:r w:rsidRPr="00FF4BA2">
        <w:rPr>
          <w:rFonts w:ascii="Noto Sans" w:hAnsi="Noto Sans" w:cs="Noto Sans"/>
          <w:sz w:val="20"/>
          <w:szCs w:val="20"/>
        </w:rPr>
        <w:t xml:space="preserve">, E., Jaakkola, J. J. K., </w:t>
      </w:r>
      <w:proofErr w:type="spellStart"/>
      <w:r w:rsidRPr="00FF4BA2">
        <w:rPr>
          <w:rFonts w:ascii="Noto Sans" w:hAnsi="Noto Sans" w:cs="Noto Sans"/>
          <w:sz w:val="20"/>
          <w:szCs w:val="20"/>
        </w:rPr>
        <w:t>Ryti</w:t>
      </w:r>
      <w:proofErr w:type="spellEnd"/>
      <w:r w:rsidRPr="00FF4BA2">
        <w:rPr>
          <w:rFonts w:ascii="Noto Sans" w:hAnsi="Noto Sans" w:cs="Noto Sans"/>
          <w:sz w:val="20"/>
          <w:szCs w:val="20"/>
        </w:rPr>
        <w:t xml:space="preserve">,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 xml:space="preserve">Guidelines on the calculation of climate </w:t>
      </w:r>
      <w:proofErr w:type="spellStart"/>
      <w:r w:rsidRPr="00FF4BA2">
        <w:rPr>
          <w:rFonts w:ascii="Noto Sans" w:hAnsi="Noto Sans" w:cs="Noto Sans"/>
          <w:i/>
          <w:iCs/>
          <w:sz w:val="20"/>
          <w:szCs w:val="20"/>
        </w:rPr>
        <w:t>normals</w:t>
      </w:r>
      <w:proofErr w:type="spellEnd"/>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w:t>
      </w:r>
      <w:proofErr w:type="spellStart"/>
      <w:r w:rsidRPr="00FF4BA2">
        <w:rPr>
          <w:rFonts w:ascii="Noto Sans" w:hAnsi="Noto Sans" w:cs="Noto Sans"/>
          <w:sz w:val="20"/>
          <w:szCs w:val="20"/>
        </w:rPr>
        <w:t>Hegerl</w:t>
      </w:r>
      <w:proofErr w:type="spellEnd"/>
      <w:r w:rsidRPr="00FF4BA2">
        <w:rPr>
          <w:rFonts w:ascii="Noto Sans" w:hAnsi="Noto Sans" w:cs="Noto Sans"/>
          <w:sz w:val="20"/>
          <w:szCs w:val="20"/>
        </w:rPr>
        <w:t xml:space="preserve">,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DE274" w14:textId="77777777" w:rsidR="00E66D1A" w:rsidRDefault="00E66D1A" w:rsidP="004E2355">
      <w:pPr>
        <w:spacing w:after="0" w:line="240" w:lineRule="auto"/>
      </w:pPr>
      <w:r>
        <w:separator/>
      </w:r>
    </w:p>
  </w:endnote>
  <w:endnote w:type="continuationSeparator" w:id="0">
    <w:p w14:paraId="0B074A93" w14:textId="77777777" w:rsidR="00E66D1A" w:rsidRDefault="00E66D1A"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20767"/>
      <w:docPartObj>
        <w:docPartGallery w:val="Page Numbers (Bottom of Page)"/>
        <w:docPartUnique/>
      </w:docPartObj>
    </w:sdtPr>
    <w:sdtEndPr>
      <w:rPr>
        <w:noProof/>
      </w:rPr>
    </w:sdtEndPr>
    <w:sdtContent>
      <w:p w14:paraId="17CE764B" w14:textId="1A1879EA" w:rsidR="008E6BCB" w:rsidRDefault="008E6BCB">
        <w:pPr>
          <w:pStyle w:val="Footer"/>
          <w:jc w:val="right"/>
        </w:pPr>
        <w:r w:rsidRPr="008E6BCB">
          <w:rPr>
            <w:color w:val="808080" w:themeColor="background1" w:themeShade="80"/>
          </w:rPr>
          <w:fldChar w:fldCharType="begin"/>
        </w:r>
        <w:r w:rsidRPr="008E6BCB">
          <w:rPr>
            <w:color w:val="808080" w:themeColor="background1" w:themeShade="80"/>
          </w:rPr>
          <w:instrText xml:space="preserve"> PAGE   \* MERGEFORMAT </w:instrText>
        </w:r>
        <w:r w:rsidRPr="008E6BCB">
          <w:rPr>
            <w:color w:val="808080" w:themeColor="background1" w:themeShade="80"/>
          </w:rPr>
          <w:fldChar w:fldCharType="separate"/>
        </w:r>
        <w:r w:rsidRPr="008E6BCB">
          <w:rPr>
            <w:noProof/>
            <w:color w:val="808080" w:themeColor="background1" w:themeShade="80"/>
          </w:rPr>
          <w:t>2</w:t>
        </w:r>
        <w:r w:rsidRPr="008E6BCB">
          <w:rPr>
            <w:noProof/>
            <w:color w:val="808080" w:themeColor="background1" w:themeShade="80"/>
          </w:rPr>
          <w:fldChar w:fldCharType="end"/>
        </w:r>
      </w:p>
    </w:sdtContent>
  </w:sdt>
  <w:p w14:paraId="76B9A8BA" w14:textId="77777777" w:rsidR="008E6BCB" w:rsidRDefault="008E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01AC8" w14:textId="77777777" w:rsidR="00E66D1A" w:rsidRDefault="00E66D1A" w:rsidP="004E2355">
      <w:pPr>
        <w:spacing w:after="0" w:line="240" w:lineRule="auto"/>
      </w:pPr>
      <w:r>
        <w:separator/>
      </w:r>
    </w:p>
  </w:footnote>
  <w:footnote w:type="continuationSeparator" w:id="0">
    <w:p w14:paraId="3B2FA9DB" w14:textId="77777777" w:rsidR="00E66D1A" w:rsidRDefault="00E66D1A" w:rsidP="004E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274B36"/>
    <w:rsid w:val="002833AD"/>
    <w:rsid w:val="0033046D"/>
    <w:rsid w:val="00353A0B"/>
    <w:rsid w:val="00357559"/>
    <w:rsid w:val="0039027B"/>
    <w:rsid w:val="004358A7"/>
    <w:rsid w:val="0043698E"/>
    <w:rsid w:val="0047331A"/>
    <w:rsid w:val="00485FA0"/>
    <w:rsid w:val="004E2355"/>
    <w:rsid w:val="005203F6"/>
    <w:rsid w:val="00535BC8"/>
    <w:rsid w:val="00551E65"/>
    <w:rsid w:val="005E49A7"/>
    <w:rsid w:val="00640C90"/>
    <w:rsid w:val="006C628F"/>
    <w:rsid w:val="007461E2"/>
    <w:rsid w:val="007D756D"/>
    <w:rsid w:val="008030D2"/>
    <w:rsid w:val="008855E9"/>
    <w:rsid w:val="008E6BCB"/>
    <w:rsid w:val="008F3F73"/>
    <w:rsid w:val="009806ED"/>
    <w:rsid w:val="00984FF8"/>
    <w:rsid w:val="009D64FF"/>
    <w:rsid w:val="00B048E1"/>
    <w:rsid w:val="00B403CB"/>
    <w:rsid w:val="00B532CE"/>
    <w:rsid w:val="00C92212"/>
    <w:rsid w:val="00DA4A09"/>
    <w:rsid w:val="00DE0908"/>
    <w:rsid w:val="00E25FF7"/>
    <w:rsid w:val="00E352C2"/>
    <w:rsid w:val="00E66D1A"/>
    <w:rsid w:val="00F51D8B"/>
    <w:rsid w:val="00F83417"/>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640C90"/>
    <w:pPr>
      <w:keepNext/>
      <w:keepLines/>
      <w:pBdr>
        <w:bottom w:val="single" w:sz="12" w:space="1" w:color="005587"/>
      </w:pBdr>
      <w:spacing w:before="280" w:line="288" w:lineRule="auto"/>
      <w:outlineLvl w:val="1"/>
    </w:pPr>
    <w:rPr>
      <w:rFonts w:ascii="Calibri" w:eastAsia="MS Gothic" w:hAnsi="Calibri" w:cs="Times New Roman"/>
      <w:b/>
      <w:bCs/>
      <w:color w:val="005587"/>
      <w:kern w:val="0"/>
      <w:sz w:val="28"/>
      <w:szCs w:val="26"/>
      <w14:ligatures w14:val="none"/>
    </w:rPr>
  </w:style>
  <w:style w:type="paragraph" w:styleId="Heading3">
    <w:name w:val="heading 3"/>
    <w:basedOn w:val="Normal"/>
    <w:next w:val="Normal"/>
    <w:link w:val="Heading3Char"/>
    <w:uiPriority w:val="9"/>
    <w:unhideWhenUsed/>
    <w:qFormat/>
    <w:rsid w:val="004358A7"/>
    <w:pPr>
      <w:spacing w:after="120" w:line="288" w:lineRule="auto"/>
      <w:outlineLvl w:val="2"/>
    </w:pPr>
    <w:rPr>
      <w:rFonts w:ascii="Source Sans Pro" w:eastAsia="MS Mincho" w:hAnsi="Source Sans Pro" w:cs="Times New Roman"/>
      <w:b/>
      <w:color w:val="262626"/>
      <w:kern w:val="0"/>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640C90"/>
    <w:rPr>
      <w:rFonts w:ascii="Calibri" w:eastAsia="MS Gothic" w:hAnsi="Calibri" w:cs="Times New Roman"/>
      <w:b/>
      <w:bCs/>
      <w:color w:val="005587"/>
      <w:kern w:val="0"/>
      <w:sz w:val="28"/>
      <w:szCs w:val="26"/>
      <w14:ligatures w14:val="none"/>
    </w:rPr>
  </w:style>
  <w:style w:type="character" w:customStyle="1" w:styleId="Heading3Char">
    <w:name w:val="Heading 3 Char"/>
    <w:basedOn w:val="DefaultParagraphFont"/>
    <w:link w:val="Heading3"/>
    <w:uiPriority w:val="9"/>
    <w:rsid w:val="004358A7"/>
    <w:rPr>
      <w:rFonts w:ascii="Source Sans Pro" w:eastAsia="MS Mincho" w:hAnsi="Source Sans Pro" w:cs="Times New Roman"/>
      <w:b/>
      <w:color w:val="262626"/>
      <w:kern w:val="0"/>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640C90"/>
    <w:pPr>
      <w:shd w:val="clear" w:color="auto" w:fill="E2E6ED"/>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640C90"/>
    <w:rPr>
      <w:rFonts w:ascii="Source Sans Pro" w:eastAsia="MS Mincho" w:hAnsi="Source Sans Pro" w:cs="Times New Roman"/>
      <w:color w:val="262626"/>
      <w:kern w:val="0"/>
      <w:sz w:val="18"/>
      <w:szCs w:val="22"/>
      <w:shd w:val="clear" w:color="auto" w:fill="E2E6ED"/>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551E65"/>
    <w:pPr>
      <w:pBdr>
        <w:left w:val="single" w:sz="12" w:space="6" w:color="339898"/>
      </w:pBdr>
      <w:shd w:val="clear" w:color="auto" w:fill="E5E5E5"/>
      <w:spacing w:before="120" w:after="120" w:line="288" w:lineRule="auto"/>
    </w:pPr>
    <w:rPr>
      <w:rFonts w:ascii="Source Sans Pro" w:eastAsia="MS Mincho" w:hAnsi="Source Sans Pro" w:cs="Times New Roman"/>
      <w:color w:val="262626"/>
      <w:kern w:val="0"/>
      <w:sz w:val="18"/>
      <w:szCs w:val="18"/>
      <w14:ligatures w14:val="none"/>
    </w:rPr>
  </w:style>
  <w:style w:type="character" w:customStyle="1" w:styleId="callout2Char">
    <w:name w:val="callout 2 Char"/>
    <w:basedOn w:val="DefaultParagraphFont"/>
    <w:link w:val="callout2"/>
    <w:rsid w:val="00551E65"/>
    <w:rPr>
      <w:rFonts w:ascii="Source Sans Pro" w:eastAsia="MS Mincho" w:hAnsi="Source Sans Pro" w:cs="Times New Roman"/>
      <w:color w:val="262626"/>
      <w:kern w:val="0"/>
      <w:sz w:val="18"/>
      <w:szCs w:val="18"/>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7497</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14</cp:revision>
  <cp:lastPrinted>2025-09-24T02:42:00Z</cp:lastPrinted>
  <dcterms:created xsi:type="dcterms:W3CDTF">2025-09-23T19:45:00Z</dcterms:created>
  <dcterms:modified xsi:type="dcterms:W3CDTF">2025-09-24T02:45:00Z</dcterms:modified>
</cp:coreProperties>
</file>