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Hypothesis 3 - Peri-contact Reorientation</w:t>
      </w:r>
    </w:p>
    <w:p>
      <w:r>
        <w:rPr>
          <w:i/>
        </w:rPr>
        <w:t>Do animals reorient their body axis toward the ethanol source upon an encounter?</w:t>
      </w:r>
    </w:p>
    <w:p>
      <w:pPr>
        <w:pStyle w:val="Heading1"/>
      </w:pPr>
      <w:r>
        <w:t>1. Goal and Hypotheses</w:t>
      </w:r>
    </w:p>
    <w:p>
      <w:r>
        <w:t>H3 predicts that following an ethanol encounter the body axis turns TOWARD the source, so the absolute body-axis angle to the source, |theta|, DECREASES from the pre-contact window to the post-contact window (reorientation).</w:t>
      </w:r>
    </w:p>
    <w:p>
      <w:r>
        <w:t>H3 (alternative): post-contact |theta| &lt; pre-contact |theta| (reorientation toward source).</w:t>
      </w:r>
    </w:p>
    <w:p>
      <w:r>
        <w:t>H0 (null): |theta| is unchanged across the contact (pre = post).</w:t>
      </w:r>
    </w:p>
    <w:p>
      <w:r>
        <w:t>Acceptance rule: accept H3 only if the trial-level paired test shows post |theta| significantly below pre |theta|. Direction is reported before significance.</w:t>
      </w:r>
    </w:p>
    <w:p>
      <w:pPr>
        <w:pStyle w:val="Heading1"/>
      </w:pPr>
      <w:r>
        <w:t>2. Methods</w:t>
      </w:r>
    </w:p>
    <w:p>
      <w:r>
        <w:t>Data were read through the shared accessor and geometry library traj_common (version traj_common/1.0) against the aggregate file C:\Projects\Repos\Mouse Arena\DATA\Mouse Arena Aggregate Data.h5. All processing used the fixed interpreter at 'C:/Projects/Repos/Agentic Research/Research Setup/vras/Scripts/python.exe' with random seed 1234.</w:t>
      </w:r>
    </w:p>
    <w:p>
      <w:r>
        <w:t>Encounter (contact) onsets were detected on the head-clock-aligned ethdeconv trace using the calibrated threshold detector (k = 5 times MAD of the quiet, far-from-source baseline), with encounter time defined as the upward-crossing onset on the head clock.</w:t>
      </w:r>
    </w:p>
    <w:p>
      <w:r>
        <w:t>Noise-floor caveat (honest interpretation of what the encounter onsets index): the calibrated encounter threshold sits at the deconvolved NOISE FLOOR, so the ~28 onsets per trial (7,814 pooled contacts) index low-amplitude noise / exposure crossings, NOT discrete high-amplitude odor contacts. Concretely, the calibrated threshold (7.18e-04 on ethdeconv) is the same order of magnitude as the pooled per-trial noise floor (median per-trial ethd ~4.34e-04) and as the median ethdeconv AT detected onsets (7.45e-04), while a real odor signal reaches ~0.14. Only a fraction 2.6e-04 of onsets (~0%) exceed the physically meaningful 0.01 amplitude, and at a secondary 0.01 amplitude threshold the per-trial encounter counts collapse to ~0 (median; max = 5), i.e. discrete high-amplitude odor contacts are essentially absent. The peri-contact analysis is therefore triggered on noise-floor events, which is fully consistent with the observed NULL (no reorientation): there is no discrete odor contact for the animal to reorient to. Threshold selection note: smallest-k rule returns the most permissive threshold on this degenerate (near-silent) quiet baseline; harmless here because all encounter-dependent results are null, but should not be used to support a positive claim.</w:t>
      </w:r>
    </w:p>
    <w:p>
      <w:r>
        <w:t>Peri-contact sampling (D10): for each encounter onset, |theta| was sampled on a -1.0 s to +1.0 s window around onset on a 50 ms fixed grid on the head clock. The pre window is [-1.0, 0) s and the post window is (0, +1.0] s. Contacts whose window ran past the track ends contributed only their in-range samples.</w:t>
      </w:r>
    </w:p>
    <w:p>
      <w:r>
        <w:t>Inferential test (replication unit = trial): for each trial with at least one encounter, the mean |theta| in the pre window and in the post window were computed; a paired Wilcoxon signed-rank test across trials evaluated the one-sided alternative that post &lt; pre. The pooled peri-contact mean-|theta| curve (F4) is descriptive, with a 95% confidence band from bootstrap over trials (n_boot = 2000, seed = 1234).</w:t>
      </w:r>
    </w:p>
    <w:p>
      <w:r>
        <w:t>Pooling: all encounters across Loc1-6 were pooled; the paired test used n = 105 trials (unit = trial).</w:t>
      </w:r>
    </w:p>
    <w:p>
      <w:pPr>
        <w:pStyle w:val="Heading1"/>
      </w:pPr>
      <w:r>
        <w:t>3. Results</w:t>
      </w:r>
    </w:p>
    <w:p>
      <w:r>
        <w:t>H3 is NOT supported. The direction of the effect is opposite to (or negligibly different from) the prediction: the pooled peri-contact curve is essentially flat around t = 0, with no reorientation toward the source.</w:t>
      </w:r>
    </w:p>
    <w:p>
      <w:r>
        <w:t>Direction (reported first): median pre-contact |theta| = 70.01 degrees versus median post-contact |theta| = 69.66 degrees (change of -0.34 degrees). The two medians are essentially equal - post |theta| is unchanged, NOT reduced. Across the 105 trial pairs the majority direction is post &gt; pre (64 pairs with post &gt; pre versus 41 pairs with post &lt; pre), i.e. if anything |theta| is slightly larger after contact. This is the opposite of the predicted decrease; no reorientation toward the source is observed.</w:t>
      </w:r>
    </w:p>
    <w:p>
      <w:r>
        <w:t>Significance: the paired Wilcoxon signed-rank test of the one-sided alternative 'less' (post &lt; pre) across n = 105 trials gave W = 3710.0, p = 0.9985. The large p-value indicates post |theta| is NOT below pre |theta|; the null of no reorientation cannot be rejected in the predicted direction.</w:t>
      </w:r>
    </w:p>
    <w:p>
      <w:r>
        <w:t>Sample sizes: 7,814 contacts were pooled across 105 trials contributing to the peri-contact curve; 105 trials had at least one encounter and entered the paired test. (descriptive_only flag = False.)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7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peri_contact_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F4. Peri-contact reorientation, pooled over all encounters across Loc1-6. x = peri-contact time (-1.0 to +1.0 s, 50 ms grid); y = mean absolute body-axis angle to source |theta| (degrees). Line = mean; shaded band = 95% CI (bootstrap over trials, seed 1234). Dashed vertical line marks contact onset (t = 0). n contacts = 7,814; n trials contributing = 105. Paired Wilcoxon (post&lt;pre): W = 3710.0, p = 0.9985; median pre |theta| = 70.0 deg, median post |theta| = 69.7 deg. The curve is flat/slightly rising across t = 0: no reorientation toward the source.</w:t>
      </w:r>
    </w:p>
    <w:p>
      <w:pPr>
        <w:pStyle w:val="Heading2"/>
      </w:pPr>
      <w:r>
        <w:t>3.1 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Median pre-contact |theta| (deg)</w:t>
            </w:r>
          </w:p>
        </w:tc>
        <w:tc>
          <w:tcPr>
            <w:tcW w:type="dxa" w:w="4320"/>
          </w:tcPr>
          <w:p>
            <w:r>
              <w:t>70.0056</w:t>
            </w:r>
          </w:p>
        </w:tc>
      </w:tr>
      <w:tr>
        <w:tc>
          <w:tcPr>
            <w:tcW w:type="dxa" w:w="4320"/>
          </w:tcPr>
          <w:p>
            <w:r>
              <w:t>Median post-contact |theta| (deg)</w:t>
            </w:r>
          </w:p>
        </w:tc>
        <w:tc>
          <w:tcPr>
            <w:tcW w:type="dxa" w:w="4320"/>
          </w:tcPr>
          <w:p>
            <w:r>
              <w:t>69.6613</w:t>
            </w:r>
          </w:p>
        </w:tc>
      </w:tr>
      <w:tr>
        <w:tc>
          <w:tcPr>
            <w:tcW w:type="dxa" w:w="4320"/>
          </w:tcPr>
          <w:p>
            <w:r>
              <w:t>Change post - pre (deg)</w:t>
            </w:r>
          </w:p>
        </w:tc>
        <w:tc>
          <w:tcPr>
            <w:tcW w:type="dxa" w:w="4320"/>
          </w:tcPr>
          <w:p>
            <w:r>
              <w:t>-0.3444</w:t>
            </w:r>
          </w:p>
        </w:tc>
      </w:tr>
      <w:tr>
        <w:tc>
          <w:tcPr>
            <w:tcW w:type="dxa" w:w="4320"/>
          </w:tcPr>
          <w:p>
            <w:r>
              <w:t>Paired Wilcoxon statistic W (post&lt;pre)</w:t>
            </w:r>
          </w:p>
        </w:tc>
        <w:tc>
          <w:tcPr>
            <w:tcW w:type="dxa" w:w="4320"/>
          </w:tcPr>
          <w:p>
            <w:r>
              <w:t>3710.0</w:t>
            </w:r>
          </w:p>
        </w:tc>
      </w:tr>
      <w:tr>
        <w:tc>
          <w:tcPr>
            <w:tcW w:type="dxa" w:w="4320"/>
          </w:tcPr>
          <w:p>
            <w:r>
              <w:t>Paired Wilcoxon p (one-sided, post&lt;pre)</w:t>
            </w:r>
          </w:p>
        </w:tc>
        <w:tc>
          <w:tcPr>
            <w:tcW w:type="dxa" w:w="4320"/>
          </w:tcPr>
          <w:p>
            <w:r>
              <w:t>0.998487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post&gt;pre</w:t>
            </w:r>
          </w:p>
        </w:tc>
      </w:tr>
      <w:tr>
        <w:tc>
          <w:tcPr>
            <w:tcW w:type="dxa" w:w="4320"/>
          </w:tcPr>
          <w:p>
            <w:r>
              <w:t>n contacts (pooled)</w:t>
            </w:r>
          </w:p>
        </w:tc>
        <w:tc>
          <w:tcPr>
            <w:tcW w:type="dxa" w:w="4320"/>
          </w:tcPr>
          <w:p>
            <w:r>
              <w:t>7,814</w:t>
            </w:r>
          </w:p>
        </w:tc>
      </w:tr>
      <w:tr>
        <w:tc>
          <w:tcPr>
            <w:tcW w:type="dxa" w:w="4320"/>
          </w:tcPr>
          <w:p>
            <w:r>
              <w:t>n trials contributing to curve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n trials with &gt;=1 encounter (paired)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H3 supported?</w:t>
            </w:r>
          </w:p>
        </w:tc>
        <w:tc>
          <w:tcPr>
            <w:tcW w:type="dxa" w:w="4320"/>
          </w:tcPr>
          <w:p>
            <w:r>
              <w:t>No (null result)</w:t>
            </w:r>
          </w:p>
        </w:tc>
      </w:tr>
    </w:tbl>
    <w:p>
      <w:pPr>
        <w:pStyle w:val="Heading1"/>
      </w:pPr>
      <w:r>
        <w:t>4. Caveats</w:t>
      </w:r>
    </w:p>
    <w:p>
      <w:r>
        <w:t>Angle convention verified: |theta| is the absolute angle between the body axis and the vector to the source, computed in traj_common; smaller |theta| means better alignment toward the source, so the H3 prediction is unambiguously a DECREASE.</w:t>
      </w:r>
    </w:p>
    <w:p>
      <w:r>
        <w:t>Contacts may be exposure-driven rather than discrete biological reorientation events. Encounter onsets are threshold crossings on a deconvolved ethanol signal; a large count of contacts pooled from many trials does not guarantee that each is a distinct, behaviorally salient stimulus, so the flat peri-contact curve may reflect exposure structure rather than an absence of any fast reorientation reflex.</w:t>
      </w:r>
    </w:p>
    <w:p>
      <w:r>
        <w:t>Single cohort, infrared imaging, pixel units: results come from one cohort recorded under infrared, with distances and geometry in pixels; generalization is limited.</w:t>
      </w:r>
    </w:p>
    <w:p>
      <w:r>
        <w:t>Direction before significance: the effect direction (post approximately equal to / slightly above pre) is reported first and is itself inconsistent with H3, independent of the (non-significant) p-value.</w:t>
      </w:r>
    </w:p>
    <w:p>
      <w:pPr>
        <w:pStyle w:val="Heading1"/>
      </w:pPr>
      <w:r>
        <w:t>5. Reproducibility</w:t>
      </w:r>
    </w:p>
    <w:p>
      <w:r>
        <w:t>All numbers above were injected directly from the saved result object:</w:t>
      </w:r>
    </w:p>
    <w:p>
      <w:r>
        <w:t xml:space="preserve">  Stats:   C:\Projects\Repos\Mouse Arena\Analysis\trajectories\data\stats.json</w:t>
      </w:r>
    </w:p>
    <w:p>
      <w:r>
        <w:t xml:space="preserve">  Figure:  C:\Projects\Repos\Mouse Arena\Analysis\trajectories\reports\figures\F4_peri_contact_angle.png (+ .pdf, + .txt sidecar)</w:t>
      </w:r>
    </w:p>
    <w:p>
      <w:r>
        <w:t xml:space="preserve">  Metrics: C:\Projects\Repos\Mouse Arena\Analysis\trajectories\data\trajectory_metrics.h5 / .json</w:t>
      </w:r>
    </w:p>
    <w:p>
      <w:r>
        <w:t>Seed = 1234; traj_common traj_common/1.0; stats.json created 2026-08-08T04:40:54Z.</w:t>
      </w:r>
    </w:p>
    <w:p>
      <w:r>
        <w:t>Exact reproduce command:</w:t>
      </w:r>
    </w:p>
    <w:p>
      <w:r>
        <w:rPr>
          <w:rFonts w:ascii="Consolas" w:hAnsi="Consolas"/>
          <w:sz w:val="16"/>
        </w:rPr>
        <w:t>"C:/Projects/Repos/Agentic Research/Research Setup/vras/Scripts/python.exe" "C:\Projects\Repos\Mouse Arena\Analysis\trajectories\code\make_F4.py" ; "C:/Projects/Repos/Agentic Research/Research Setup/vras/Scripts/python.exe" "C:\Projects\Repos\Mouse Arena\Analysis\trajectories\code\make_H3_report.py"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