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9af008277eb200f2969a917fd5cdee5573d1ae"/>
    <w:p>
      <w:pPr>
        <w:pStyle w:val="Heading1"/>
      </w:pPr>
      <w:r>
        <w:t xml:space="preserve">Trajectory Structure &amp; Odor-Guided Orientation — Synthesis Report</w:t>
      </w:r>
    </w:p>
    <w:p>
      <w:pPr>
        <w:pStyle w:val="FirstParagraph"/>
      </w:pPr>
      <w:r>
        <w:rPr>
          <w:bCs/>
          <w:b/>
        </w:rPr>
        <w:t xml:space="preserve">Mouse Arena 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Analysis\trajectories</w:t>
      </w:r>
      <w:r>
        <w:rPr>
          <w:bCs/>
          <w:b/>
        </w:rPr>
        <w:t xml:space="preserve"> </w:t>
      </w:r>
      <w:r>
        <w:rPr>
          <w:bCs/>
          <w:b/>
        </w:rPr>
        <w:t xml:space="preserve">· single infrared cohort · pooled Loc1–Loc6, n = 105 trials (unit = trial)</w:t>
      </w:r>
      <w:r>
        <w:t xml:space="preserve"> </w:t>
      </w:r>
      <w:r>
        <w:t xml:space="preserve">Synthesizes</w:t>
      </w:r>
      <w:r>
        <w:t xml:space="preserve"> </w:t>
      </w:r>
      <w:r>
        <w:rPr>
          <w:rStyle w:val="VerbatimChar"/>
        </w:rPr>
        <w:t xml:space="preserve">H1 – encounters vs tortuosity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H2 – alignment vs 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H3 – peri-contact reorientation</w:t>
      </w:r>
      <w:r>
        <w:t xml:space="preserve">, and the Gate-2 audit. Prepared 2026-08-08.</w:t>
      </w:r>
    </w:p>
    <w:bookmarkStart w:id="20" w:name="take-home-findings"/>
    <w:p>
      <w:pPr>
        <w:pStyle w:val="Heading2"/>
      </w:pPr>
      <w:r>
        <w:t xml:space="preserve">Take-home findings</w:t>
      </w:r>
    </w:p>
    <w:p>
      <w:pPr>
        <w:pStyle w:val="FirstParagraph"/>
      </w:pPr>
      <w:r>
        <w:rPr>
          <w:bCs/>
          <w:b/>
        </w:rPr>
        <w:t xml:space="preserve">Bottom line.</w:t>
      </w:r>
      <w:r>
        <w:t xml:space="preserve"> </w:t>
      </w:r>
      <w:r>
        <w:t xml:space="preserve">Across this cohort,</w:t>
      </w:r>
      <w:r>
        <w:t xml:space="preserve"> </w:t>
      </w:r>
      <w:r>
        <w:rPr>
          <w:bCs/>
          <w:b/>
        </w:rPr>
        <w:t xml:space="preserve">none of the three predicted odor-guided navigation effects is supported.</w:t>
      </w:r>
      <w:r>
        <w:t xml:space="preserve"> </w:t>
      </w:r>
      <w:r>
        <w:t xml:space="preserve">The deeper reason is a data reality:</w:t>
      </w:r>
      <w:r>
        <w:t xml:space="preserve"> </w:t>
      </w:r>
      <w:r>
        <w:rPr>
          <w:bCs/>
          <w:b/>
        </w:rPr>
        <w:t xml:space="preserve">discrete, high-amplitude ethanol encounters are essentially absent (~0–1 per trial)</w:t>
      </w:r>
      <w:r>
        <w:t xml:space="preserve"> </w:t>
      </w:r>
      <w:r>
        <w:t xml:space="preserve">at any physically meaningful signal level, so every hypothesis that hinges on counting or time-locking to</w:t>
      </w:r>
      <w:r>
        <w:t xml:space="preserve"> </w:t>
      </w:r>
      <w:r>
        <w:t xml:space="preserve">“</w:t>
      </w:r>
      <w:r>
        <w:t xml:space="preserve">encounters</w:t>
      </w:r>
      <w:r>
        <w:t xml:space="preserve">”</w:t>
      </w:r>
      <w:r>
        <w:t xml:space="preserve"> </w:t>
      </w:r>
      <w:r>
        <w:t xml:space="preserve">is underpowered by the measurement itself, not merely by the statistics. The one odor–behavior relationship that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replicate is weak and indirect:</w:t>
      </w:r>
      <w:r>
        <w:t xml:space="preserve"> </w:t>
      </w:r>
      <w:r>
        <w:rPr>
          <w:bCs/>
          <w:b/>
        </w:rPr>
        <w:t xml:space="preserve">straighter paths spend a larger fraction of their length in above-threshold odor.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H1 — more encounters ⇒ straighter search: NOT supported.</w:t>
      </w:r>
      <w:r>
        <w:t xml:space="preserve"> </w:t>
      </w:r>
      <w:r>
        <w:t xml:space="preserve">The raw correlation is strong but</w:t>
      </w:r>
      <w:r>
        <w:t xml:space="preserve"> </w:t>
      </w:r>
      <w:r>
        <w:rPr>
          <w:iCs/>
          <w:i/>
        </w:rPr>
        <w:t xml:space="preserve">positive</w:t>
      </w:r>
      <w:r>
        <w:t xml:space="preserve"> </w:t>
      </w:r>
      <w:r>
        <w:t xml:space="preserve">(Spearman ρ = 0.612, 95% CI [0.454, 0.736], p = 3.9e-12) — the opposite of the prediction — and is a</w:t>
      </w:r>
      <w:r>
        <w:t xml:space="preserve"> </w:t>
      </w:r>
      <w:r>
        <w:rPr>
          <w:bCs/>
          <w:b/>
        </w:rPr>
        <w:t xml:space="preserve">path-length exposure artifact</w:t>
      </w:r>
      <w:r>
        <w:t xml:space="preserve">: both encounter count and tortuosity scale with path length (ρ = 0.71 and 0.93). Once exposure is removed, the encounter–tortuosity link</w:t>
      </w:r>
      <w:r>
        <w:t xml:space="preserve"> </w:t>
      </w:r>
      <w:r>
        <w:rPr>
          <w:bCs/>
          <w:b/>
        </w:rPr>
        <w:t xml:space="preserve">collapses to null</w:t>
      </w:r>
      <w:r>
        <w:t xml:space="preserve"> </w:t>
      </w:r>
      <w:r>
        <w:t xml:space="preserve">(encounter-rate vs tortuosity ρ = 0.077, p = 0.44, CI spans 0).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H2 — body axis aligns as the animal nears the source: NOT supported.</w:t>
      </w:r>
      <w:r>
        <w:t xml:space="preserve"> </w:t>
      </w:r>
      <w:r>
        <w:t xml:space="preserve">Per-trial slopes lean in the predicted direction (median +0.020°/px, 64 positive vs 41 negative) but are</w:t>
      </w:r>
      <w:r>
        <w:t xml:space="preserve"> </w:t>
      </w:r>
      <w:r>
        <w:rPr>
          <w:bCs/>
          <w:b/>
        </w:rPr>
        <w:t xml:space="preserve">not significant</w:t>
      </w:r>
      <w:r>
        <w:t xml:space="preserve"> </w:t>
      </w:r>
      <w:r>
        <w:t xml:space="preserve">(Wilcoxon p = 0.12), and the distance–angle curve is</w:t>
      </w:r>
      <w:r>
        <w:t xml:space="preserve"> </w:t>
      </w:r>
      <w:r>
        <w:rPr>
          <w:bCs/>
          <w:b/>
        </w:rPr>
        <w:t xml:space="preserve">non-monotonic</w:t>
      </w:r>
      <w:r>
        <w:t xml:space="preserve"> </w:t>
      </w:r>
      <w:r>
        <w:t xml:space="preserve">— best alignment occurs at</w:t>
      </w:r>
      <w:r>
        <w:t xml:space="preserve"> </w:t>
      </w:r>
      <w:r>
        <w:rPr>
          <w:iCs/>
          <w:i/>
        </w:rPr>
        <w:t xml:space="preserve">intermediate</w:t>
      </w:r>
      <w:r>
        <w:t xml:space="preserve"> </w:t>
      </w:r>
      <w:r>
        <w:t xml:space="preserve">distances (θ ≈ 45° near 230–290 px), not closest to the port (θ ≈ 64° at 10 px). The</w:t>
      </w:r>
      <w:r>
        <w:t xml:space="preserve"> </w:t>
      </w:r>
      <w:r>
        <w:t xml:space="preserve">“</w:t>
      </w:r>
      <w:r>
        <w:t xml:space="preserve">rises steadily with distance</w:t>
      </w:r>
      <w:r>
        <w:t xml:space="preserve">”</w:t>
      </w:r>
      <w:r>
        <w:t xml:space="preserve"> </w:t>
      </w:r>
      <w:r>
        <w:t xml:space="preserve">acceptance criterion fails.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H3 — reorientation toward the source after a contact: NULL.</w:t>
      </w:r>
      <w:r>
        <w:t xml:space="preserve"> </w:t>
      </w:r>
      <w:r>
        <w:t xml:space="preserve">Pre- vs post-contact angle is unchanged (median 70.0° → 69.7°; paired Wilcoxon p = 0.998), and if anything the angle</w:t>
      </w:r>
      <w:r>
        <w:t xml:space="preserve"> </w:t>
      </w:r>
      <w:r>
        <w:rPr>
          <w:iCs/>
          <w:i/>
        </w:rPr>
        <w:t xml:space="preserve">increases</w:t>
      </w:r>
      <w:r>
        <w:t xml:space="preserve"> </w:t>
      </w:r>
      <w:r>
        <w:t xml:space="preserve">slightly after contact (majority 64/41 post &gt; pre) — no turn toward the source.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measurement, not just the result, is the story.</w:t>
      </w:r>
      <w:r>
        <w:t xml:space="preserve"> </w:t>
      </w:r>
      <w:r>
        <w:t xml:space="preserve">The calibrated encounter detector fired at the</w:t>
      </w:r>
      <w:r>
        <w:t xml:space="preserve"> </w:t>
      </w:r>
      <w:r>
        <w:rPr>
          <w:bCs/>
          <w:b/>
        </w:rPr>
        <w:t xml:space="preserve">deconvolved noise floor</w:t>
      </w:r>
      <w:r>
        <w:t xml:space="preserve"> </w:t>
      </w:r>
      <w:r>
        <w:t xml:space="preserve">(threshold 7.2e-4 a.u.; median signal at detected onsets 7.5e-4 a.u.; real odor excursions reach ≈ 0.14 a.u.). Fewer than 0.03 % of the 7,814 detected onsets exceed 0.01 a.u.; at a physically meaningful threshold the count is</w:t>
      </w:r>
      <w:r>
        <w:t xml:space="preserve"> </w:t>
      </w:r>
      <w:r>
        <w:rPr>
          <w:bCs/>
          <w:b/>
        </w:rPr>
        <w:t xml:space="preserve">~0–1 encounters per trial</w:t>
      </w:r>
      <w:r>
        <w:t xml:space="preserve">. The</w:t>
      </w:r>
      <w:r>
        <w:t xml:space="preserve"> </w:t>
      </w:r>
      <w:r>
        <w:t xml:space="preserve">“</w:t>
      </w:r>
      <w:r>
        <w:t xml:space="preserve">≈ 28 encounters/trial</w:t>
      </w:r>
      <w:r>
        <w:t xml:space="preserve">”</w:t>
      </w:r>
      <w:r>
        <w:t xml:space="preserve"> </w:t>
      </w:r>
      <w:r>
        <w:t xml:space="preserve">figure indexes low-level fluctuation/exposure crossings, not discrete odor hits.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encounters → less tortuous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ρ = +0.612 (exposure artifact); normalized ρ = +0.077, p = 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alignment improves when closer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slopes &gt; 0; curve rises with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slope +0.020°/px, p = 0.12; curve non-monotonic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reorient toward source post-contact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θ &lt; pre 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70.0° → 69.7°, p = 0.998 (slightly post &gt; pre)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Secondary:</w:t>
            </w:r>
            <w:r>
              <w:t xml:space="preserve"> </w:t>
            </w:r>
            <w:r>
              <w:t xml:space="preserve">frac-of-path in odor vs tortuosity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(negative, exploratory)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−0.419, p = 8.7e-6 (replicates prior −0.53)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supported odor–behavior link</w:t>
            </w:r>
          </w:p>
        </w:tc>
      </w:tr>
    </w:tbl>
    <w:p>
      <w:r>
        <w:br w:type="page"/>
      </w:r>
    </w:p>
    <w:bookmarkEnd w:id="20"/>
    <w:bookmarkStart w:id="21" w:name="what-was-tested"/>
    <w:p>
      <w:pPr>
        <w:pStyle w:val="Heading2"/>
      </w:pPr>
      <w:r>
        <w:t xml:space="preserve">What was tested</w:t>
      </w:r>
    </w:p>
    <w:p>
      <w:pPr>
        <w:pStyle w:val="FirstParagraph"/>
      </w:pPr>
      <w:r>
        <w:t xml:space="preserve">Three hypotheses about odor-guided navigation were evaluated on the head-mounted-sensor behavior cohort (114 trials; pooled Loc1–Loc6 = 105;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= 9 held out). Geometry was computed on the cleaned body-centroid track; the body axis was defined as</w:t>
      </w:r>
      <w:r>
        <w:t xml:space="preserve"> </w:t>
      </w:r>
      <w:r>
        <w:rPr>
          <w:rStyle w:val="VerbatimChar"/>
        </w:rPr>
        <w:t xml:space="preserve">unit(head − body)</w:t>
      </w:r>
      <w:r>
        <w:t xml:space="preserve"> </w:t>
      </w:r>
      <w:r>
        <w:t xml:space="preserve">and the angle to source θ as the absolute angle to</w:t>
      </w:r>
      <w:r>
        <w:t xml:space="preserve"> </w:t>
      </w:r>
      <w:r>
        <w:rPr>
          <w:rStyle w:val="VerbatimChar"/>
        </w:rPr>
        <w:t xml:space="preserve">unit(endpoint − body)</w:t>
      </w:r>
      <w:r>
        <w:t xml:space="preserve">, θ ∈ [0,180°]. Ethanol was read as the deconvolved sensor trace (</w:t>
      </w:r>
      <w:r>
        <w:rPr>
          <w:rStyle w:val="VerbatimChar"/>
        </w:rPr>
        <w:t xml:space="preserve">ethdeconv</w:t>
      </w:r>
      <w:r>
        <w:t xml:space="preserve">, a.u.) interpolated onto the ~99 Hz head clock. Replication unit = trial; seed 1234; all reported numbers injected from saved result objects. This synthesis draws only on the three hypothesis reports and the auditor’s independent re-derivation.</w:t>
      </w:r>
    </w:p>
    <w:bookmarkEnd w:id="21"/>
    <w:bookmarkStart w:id="22" w:name="findings-in-detail"/>
    <w:p>
      <w:pPr>
        <w:pStyle w:val="Heading2"/>
      </w:pPr>
      <w:r>
        <w:t xml:space="preserve">Findings in detail</w:t>
      </w:r>
    </w:p>
    <w:p>
      <w:pPr>
        <w:pStyle w:val="FirstParagraph"/>
      </w:pPr>
      <w:r>
        <w:rPr>
          <w:bCs/>
          <w:b/>
        </w:rPr>
        <w:t xml:space="preserve">H1 — encounters vs tortuosity.</w:t>
      </w:r>
      <w:r>
        <w:t xml:space="preserve"> </w:t>
      </w:r>
      <w:r>
        <w:t xml:space="preserve">The naive result looks like a strong effect in the wrong direction (ρ = +0.612). The auditor and the H1 report both trace this to exposure: longer trials accumulate both more threshold crossings and more accumulated turning, so path length drives both variables (ρ with path length = 0.71 for encounters, 0.93 for tortuosity). The exposure-normalized encounter rate is unrelated to tortuosity (ρ = 0.077, p = 0.44). Every one of the six locations shows the same positive raw sign, consistent with a shared exposure driver rather than a location-specific mechanism. The single measure that behaves as the hypothesis’</w:t>
      </w:r>
      <w:r>
        <w:t xml:space="preserve"> </w:t>
      </w:r>
      <w:r>
        <w:rPr>
          <w:iCs/>
          <w:i/>
        </w:rPr>
        <w:t xml:space="preserve">spirit</w:t>
      </w:r>
      <w:r>
        <w:t xml:space="preserve"> </w:t>
      </w:r>
      <w:r>
        <w:t xml:space="preserve">predicts is the</w:t>
      </w:r>
      <w:r>
        <w:t xml:space="preserve"> </w:t>
      </w:r>
      <w:r>
        <w:rPr>
          <w:bCs/>
          <w:b/>
        </w:rPr>
        <w:t xml:space="preserve">fraction of the path spent above the odor threshold</w:t>
      </w:r>
      <w:r>
        <w:t xml:space="preserve">, which is negatively associated with tortuosity (ρ = −0.419, p = 8.7e-6) and reproduces the earlier Plume-locations value (ρ = −0.53) — straighter, shorter paths spend proportionally more of their length in odor. This is exposure-insensitive and is the most defensible odor–behavior signal in the dataset, though it is a proportion, not the encounter count H1 was framed on.</w:t>
      </w:r>
    </w:p>
    <w:p>
      <w:pPr>
        <w:pStyle w:val="BodyText"/>
      </w:pPr>
      <w:r>
        <w:rPr>
          <w:bCs/>
          <w:b/>
        </w:rPr>
        <w:t xml:space="preserve">H2 — alignment vs distance.</w:t>
      </w:r>
      <w:r>
        <w:t xml:space="preserve"> </w:t>
      </w:r>
      <w:r>
        <w:t xml:space="preserve">Direction is as predicted (positive per-trial slope of θ on distance: larger angle when farther, better alignment when nearer), but the population test is not significant (W = 3151, p = 0.12), and the pooled distance–angle curve is the more interesting object: it is</w:t>
      </w:r>
      <w:r>
        <w:t xml:space="preserve"> </w:t>
      </w:r>
      <w:r>
        <w:rPr>
          <w:bCs/>
          <w:b/>
        </w:rPr>
        <w:t xml:space="preserve">non-monotonic</w:t>
      </w:r>
      <w:r>
        <w:t xml:space="preserve">, dropping to its minimum (~45°) at intermediate distances (≈ 230–290 px) and rising again both very near the port (~64° at 10 px) and far away (~80° at the sparsely sampled 530 px bin). A linear-slope test is the wrong lens for a U-shaped relationship; the animals are, if anything,</w:t>
      </w:r>
      <w:r>
        <w:t xml:space="preserve"> </w:t>
      </w:r>
      <w:r>
        <w:rPr>
          <w:iCs/>
          <w:i/>
        </w:rPr>
        <w:t xml:space="preserve">best</w:t>
      </w:r>
      <w:r>
        <w:t xml:space="preserve"> </w:t>
      </w:r>
      <w:r>
        <w:t xml:space="preserve">aligned during mid-range approach rather than in the immediate vicinity of the port (where local search and port-directed micro-movements likely dominate).</w:t>
      </w:r>
    </w:p>
    <w:p>
      <w:pPr>
        <w:pStyle w:val="BodyText"/>
      </w:pPr>
      <w:r>
        <w:rPr>
          <w:bCs/>
          <w:b/>
        </w:rPr>
        <w:t xml:space="preserve">H3 — peri-contact reorientation.</w:t>
      </w:r>
      <w:r>
        <w:t xml:space="preserve"> </w:t>
      </w:r>
      <w:r>
        <w:t xml:space="preserve">The peri-contact angle curve is essentially flat and drifts slightly</w:t>
      </w:r>
      <w:r>
        <w:t xml:space="preserve"> </w:t>
      </w:r>
      <w:r>
        <w:rPr>
          <w:iCs/>
          <w:i/>
        </w:rPr>
        <w:t xml:space="preserve">upward</w:t>
      </w:r>
      <w:r>
        <w:t xml:space="preserve"> </w:t>
      </w:r>
      <w:r>
        <w:t xml:space="preserve">across contact onset (≈ 71.9° at t = 0 rising to ≈ 73.6° by +0.5 s), the opposite of a turn toward the source; the trial-level paired test is decisively non-significant (p = 0.998). Because the triggering</w:t>
      </w:r>
      <w:r>
        <w:t xml:space="preserve"> </w:t>
      </w:r>
      <w:r>
        <w:t xml:space="preserve">“</w:t>
      </w:r>
      <w:r>
        <w:t xml:space="preserve">contacts</w:t>
      </w:r>
      <w:r>
        <w:t xml:space="preserve">”</w:t>
      </w:r>
      <w:r>
        <w:t xml:space="preserve"> </w:t>
      </w:r>
      <w:r>
        <w:t xml:space="preserve">are noise-floor crossings rather than discrete strong-odor events (below), a flat peri-event average is the expected outcome — there is no salient stimulus to react to.</w:t>
      </w:r>
    </w:p>
    <w:p>
      <w:pPr>
        <w:pStyle w:val="BodyText"/>
      </w:pPr>
      <w:r>
        <w:rPr>
          <w:bCs/>
          <w:b/>
        </w:rPr>
        <w:t xml:space="preserve">The encounter-detection problem (cross-cutting).</w:t>
      </w:r>
      <w:r>
        <w:t xml:space="preserve"> </w:t>
      </w:r>
      <w:r>
        <w:t xml:space="preserve">This is the most important methodological takeaway. The FPR-calibrated detector, following the</w:t>
      </w:r>
      <w:r>
        <w:t xml:space="preserve"> </w:t>
      </w:r>
      <w:r>
        <w:t xml:space="preserve">“</w:t>
      </w:r>
      <w:r>
        <w:t xml:space="preserve">smallest-k passing</w:t>
      </w:r>
      <w:r>
        <w:t xml:space="preserve">”</w:t>
      </w:r>
      <w:r>
        <w:t xml:space="preserve"> </w:t>
      </w:r>
      <w:r>
        <w:t xml:space="preserve">rule on a near-silent quiet baseline, selected the most permissive threshold (k = 5), which lands at the trace’s own noise floor. The result is ≈ 28</w:t>
      </w:r>
      <w:r>
        <w:t xml:space="preserve"> </w:t>
      </w:r>
      <w:r>
        <w:t xml:space="preserve">“</w:t>
      </w:r>
      <w:r>
        <w:t xml:space="preserve">encounters</w:t>
      </w:r>
      <w:r>
        <w:t xml:space="preserve">”</w:t>
      </w:r>
      <w:r>
        <w:t xml:space="preserve">/trial that are statistically real crossings but biologically meaningless as odor hits. At a threshold matched to genuine signal excursions (0.005–0.01 a.u.) the count falls to ~0–1/trial — matching the original expectation. This does not invalidate the conclusions (all encounter-dependent results are null, and the raw H1 positive is correctly attributed to exposure), but it means the head-sensor cohort, as aggregated,</w:t>
      </w:r>
      <w:r>
        <w:t xml:space="preserve"> </w:t>
      </w:r>
      <w:r>
        <w:rPr>
          <w:bCs/>
          <w:b/>
        </w:rPr>
        <w:t xml:space="preserve">does not contain a usable population of discrete ethanol encounters</w:t>
      </w:r>
      <w:r>
        <w:t xml:space="preserve"> </w:t>
      </w:r>
      <w:r>
        <w:t xml:space="preserve">for encounter-triggered analyses.</w:t>
      </w:r>
    </w:p>
    <w:bookmarkEnd w:id="22"/>
    <w:bookmarkStart w:id="23" w:name="caveats"/>
    <w:p>
      <w:pPr>
        <w:pStyle w:val="Heading2"/>
      </w:pPr>
      <w:r>
        <w:t xml:space="preserve">Caveats</w:t>
      </w:r>
    </w:p>
    <w:p>
      <w:pPr>
        <w:pStyle w:val="FirstParagraph"/>
      </w:pPr>
      <w:r>
        <w:t xml:space="preserve">The encounter counts are noise-floor crossings, not discrete odor contacts, so any encounter-count or peri-contact result is limited by the near-absence of strong-odor events (~0–1/trial at a physical threshold). The ethanol signal is uncalibrated (arbitrary units, not ppm) and spatial units are pixels (not calibrated to cm), so magnitudes and distances are within-cohort only. Statistics use trial as the replication unit with no animal-level grouping, so trials from the same mouse are treated as independent — a pseudoreplication risk (see extensions). Distance-to-source is geometrically confounded: all six reward ports sit toward the right/upper arena (x ≈ 440–510), so</w:t>
      </w:r>
      <w:r>
        <w:t xml:space="preserve"> </w:t>
      </w:r>
      <w:r>
        <w:t xml:space="preserve">“</w:t>
      </w:r>
      <w:r>
        <w:t xml:space="preserve">distance to source</w:t>
      </w:r>
      <w:r>
        <w:t xml:space="preserve">”</w:t>
      </w:r>
      <w:r>
        <w:t xml:space="preserve"> </w:t>
      </w:r>
      <w:r>
        <w:t xml:space="preserve">co-varies with absolute arena position and wall proximity, and no positional or edge control was applied. The body axis is a proxy (</w:t>
      </w:r>
      <w:r>
        <w:rPr>
          <w:rStyle w:val="VerbatimChar"/>
        </w:rPr>
        <w:t xml:space="preserve">head − body</w:t>
      </w:r>
      <w:r>
        <w:t xml:space="preserve">); frames with a very short head–body separation are dropped and a velocity-based heading was not tested as an alternative. H2’s linear-slope test cannot capture the observed non-monotonic curve, so its non-significance should not be read as</w:t>
      </w:r>
      <w:r>
        <w:t xml:space="preserve"> </w:t>
      </w:r>
      <w:r>
        <w:t xml:space="preserve">“</w:t>
      </w:r>
      <w:r>
        <w:t xml:space="preserve">no relationship.</w:t>
      </w:r>
      <w:r>
        <w:t xml:space="preserve">”</w:t>
      </w:r>
      <w:r>
        <w:t xml:space="preserve"> </w:t>
      </w:r>
      <w:r>
        <w:t xml:space="preserve">No family-wise correction was applied across H1–H3 (disclosed; per-test CIs). Finally, this is a single infrared cohort with no cross-cohort or cross-modality replication.</w:t>
      </w:r>
    </w:p>
    <w:bookmarkEnd w:id="23"/>
    <w:bookmarkStart w:id="24" w:name="suggested-extended-analyses"/>
    <w:p>
      <w:pPr>
        <w:pStyle w:val="Heading2"/>
      </w:pPr>
      <w:r>
        <w:t xml:space="preserve">Suggested extended analyses</w:t>
      </w:r>
    </w:p>
    <w:p>
      <w:pPr>
        <w:pStyle w:val="FirstParagraph"/>
      </w:pPr>
      <w:r>
        <w:t xml:space="preserve">The most valuable next step is to</w:t>
      </w:r>
      <w:r>
        <w:t xml:space="preserve"> </w:t>
      </w:r>
      <w:r>
        <w:rPr>
          <w:bCs/>
          <w:b/>
        </w:rPr>
        <w:t xml:space="preserve">stop relying on discrete encounter counts</w:t>
      </w:r>
      <w:r>
        <w:t xml:space="preserve"> </w:t>
      </w:r>
      <w:r>
        <w:t xml:space="preserve">and instead model</w:t>
      </w:r>
      <w:r>
        <w:t xml:space="preserve"> </w:t>
      </w:r>
      <w:r>
        <w:rPr>
          <w:bCs/>
          <w:b/>
        </w:rPr>
        <w:t xml:space="preserve">continuous odor exposure and steering</w:t>
      </w:r>
      <w:r>
        <w:t xml:space="preserve">. Concretely, replace the threshold detector with (a) integrated or instantaneous</w:t>
      </w:r>
      <w:r>
        <w:t xml:space="preserve"> </w:t>
      </w:r>
      <w:r>
        <w:rPr>
          <w:rStyle w:val="VerbatimChar"/>
        </w:rPr>
        <w:t xml:space="preserve">ethdeconv</w:t>
      </w:r>
      <w:r>
        <w:t xml:space="preserve"> </w:t>
      </w:r>
      <w:r>
        <w:t xml:space="preserve">(or the raw</w:t>
      </w:r>
      <w:r>
        <w:t xml:space="preserve"> </w:t>
      </w:r>
      <w:r>
        <w:rPr>
          <w:rStyle w:val="VerbatimChar"/>
        </w:rPr>
        <w:t xml:space="preserve">ethanol</w:t>
      </w:r>
      <w:r>
        <w:t xml:space="preserve"> </w:t>
      </w:r>
      <w:r>
        <w:t xml:space="preserve">trace against the per-trial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attribute) as a continuous predictor, and (b) regress instantaneous turning rate / angular velocity toward the source on instantaneous odor concentration and its temporal gradient (a casting-vs-surging test). This tests reactive steering directly, without needing a usable population of discrete</w:t>
      </w:r>
      <w:r>
        <w:t xml:space="preserve"> </w:t>
      </w:r>
      <w:r>
        <w:t xml:space="preserve">“</w:t>
      </w:r>
      <w:r>
        <w:t xml:space="preserve">encounters,</w:t>
      </w:r>
      <w:r>
        <w:t xml:space="preserve">”</w:t>
      </w:r>
      <w:r>
        <w:t xml:space="preserve"> </w:t>
      </w:r>
      <w:r>
        <w:t xml:space="preserve">and sidesteps the noise-floor problem entirely.</w:t>
      </w:r>
    </w:p>
    <w:p>
      <w:pPr>
        <w:pStyle w:val="BodyText"/>
      </w:pPr>
      <w:r>
        <w:t xml:space="preserve">For H2, model θ(distance) with a spline or GAM, or test alignment within near / mid / far distance zones, to characterize the non-monotonic curve rather than forcing a single linear slope; separating an explicit approach phase from local search near the port would sharpen this. A</w:t>
      </w:r>
      <w:r>
        <w:t xml:space="preserve"> </w:t>
      </w:r>
      <w:r>
        <w:rPr>
          <w:bCs/>
          <w:b/>
        </w:rPr>
        <w:t xml:space="preserve">shuffled-source null</w:t>
      </w:r>
      <w:r>
        <w:t xml:space="preserve"> </w:t>
      </w:r>
      <w:r>
        <w:t xml:space="preserve">— recompute alignment after assigning each trial a randomly chosen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Loc endpoint — would establish whether any alignment exceeds the geometric baseline expected from arena layout, addressing the position confound.</w:t>
      </w:r>
    </w:p>
    <w:p>
      <w:pPr>
        <w:pStyle w:val="BodyText"/>
      </w:pPr>
      <w:r>
        <w:t xml:space="preserve">A concrete opportunity the run did not exploit: the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fields carry a</w:t>
      </w:r>
      <w:r>
        <w:t xml:space="preserve"> </w:t>
      </w:r>
      <w:r>
        <w:rPr>
          <w:bCs/>
          <w:b/>
        </w:rPr>
        <w:t xml:space="preserve">mouse identifier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…-205_Trial1_Loc5</w:t>
      </w:r>
      <w:r>
        <w:t xml:space="preserve">, i.e. animals 201/204/205/…) and a date. The pipeline treated animal as unavailable (the standing rule expected a</w:t>
      </w:r>
      <w:r>
        <w:t xml:space="preserve"> </w:t>
      </w:r>
      <w:r>
        <w:rPr>
          <w:iCs/>
          <w:i/>
        </w:rPr>
        <w:t xml:space="preserve">6-digit</w:t>
      </w:r>
      <w:r>
        <w:t xml:space="preserve"> </w:t>
      </w:r>
      <w:r>
        <w:t xml:space="preserve">token), but this 3-digit ID is parseable. Recovering it enables</w:t>
      </w:r>
      <w:r>
        <w:t xml:space="preserve"> </w:t>
      </w:r>
      <w:r>
        <w:rPr>
          <w:bCs/>
          <w:b/>
        </w:rPr>
        <w:t xml:space="preserve">animal- and session-level mixed-effects models</w:t>
      </w:r>
      <w:r>
        <w:t xml:space="preserve"> </w:t>
      </w:r>
      <w:r>
        <w:t xml:space="preserve">(random intercepts for animal/session) that properly address pseudoreplication, plus learning-over-session and per-animal-consistency analyses. This is worth verifying against the raw metadata before relying on it.</w:t>
      </w:r>
    </w:p>
    <w:p>
      <w:pPr>
        <w:pStyle w:val="BodyText"/>
      </w:pPr>
      <w:r>
        <w:t xml:space="preserve">Two further robustness moves: cross-check tortuosity and θ computed on the</w:t>
      </w:r>
      <w:r>
        <w:t xml:space="preserve"> </w:t>
      </w:r>
      <w:r>
        <w:rPr>
          <w:bCs/>
          <w:b/>
        </w:rPr>
        <w:t xml:space="preserve">body vs head track</w:t>
      </w:r>
      <w:r>
        <w:t xml:space="preserve"> </w:t>
      </w:r>
      <w:r>
        <w:t xml:space="preserve">(and a velocity-based heading) to confirm the geometry choices don’t drive the nulls; and run a</w:t>
      </w:r>
      <w:r>
        <w:t xml:space="preserve"> </w:t>
      </w:r>
      <w:r>
        <w:rPr>
          <w:bCs/>
          <w:b/>
        </w:rPr>
        <w:t xml:space="preserve">positive-control simulation</w:t>
      </w:r>
      <w:r>
        <w:t xml:space="preserve"> </w:t>
      </w:r>
      <w:r>
        <w:t xml:space="preserve">— a synthetic agent that genuinely steers up-gradient — through the same pipeline to confirm it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detect alignment/reorientation if present, converting these nulls from</w:t>
      </w:r>
      <w:r>
        <w:t xml:space="preserve"> </w:t>
      </w:r>
      <w:r>
        <w:t xml:space="preserve">“</w:t>
      </w:r>
      <w:r>
        <w:t xml:space="preserve">no effect found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no effect, and the method is sensitive.</w:t>
      </w:r>
      <w:r>
        <w:t xml:space="preserve">”</w:t>
      </w:r>
      <w:r>
        <w:t xml:space="preserve"> </w:t>
      </w:r>
      <w:r>
        <w:t xml:space="preserve">Finally, the per-Loc</w:t>
      </w:r>
      <w:r>
        <w:t xml:space="preserve"> </w:t>
      </w:r>
      <w:r>
        <w:rPr>
          <w:bCs/>
          <w:b/>
        </w:rPr>
        <w:t xml:space="preserve">odor-field maps already built in the Plume-locations analysis</w:t>
      </w:r>
      <w:r>
        <w:t xml:space="preserve"> </w:t>
      </w:r>
      <w:r>
        <w:t xml:space="preserve">could be joined to trajectories to relate each animal’s instantaneous position-in-the-mapped-field (and local gradient bearing) to its steering — a spatially explicit test of gradient following that reuses existing artifacts.</w:t>
      </w:r>
    </w:p>
    <w:bookmarkEnd w:id="24"/>
    <w:bookmarkStart w:id="25" w:name="status-provenance"/>
    <w:p>
      <w:pPr>
        <w:pStyle w:val="Heading2"/>
      </w:pPr>
      <w:r>
        <w:t xml:space="preserve">Status &amp; provenance</w:t>
      </w:r>
    </w:p>
    <w:p>
      <w:pPr>
        <w:pStyle w:val="FirstParagraph"/>
      </w:pPr>
      <w:r>
        <w:t xml:space="preserve">All three hypothesis analyses passed</w:t>
      </w:r>
      <w:r>
        <w:t xml:space="preserve"> </w:t>
      </w:r>
      <w:r>
        <w:rPr>
          <w:bCs/>
          <w:b/>
        </w:rPr>
        <w:t xml:space="preserve">Gate 1 (code)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Gate 2 (independent science audit)</w:t>
      </w:r>
      <w:r>
        <w:t xml:space="preserve"> </w:t>
      </w:r>
      <w:r>
        <w:t xml:space="preserve">after one documentation-only revision; the auditor re-derived every headline number from the accessor and stored objects and confirmed the de-jump (0.4 %/1.0 % of body/head samples removed — well under the 5 % cascade smell test), clock alignment, angle convention (near-source θ ≈ 22°), exposure-confound handling, and honest null reporting. Sources:</w:t>
      </w:r>
      <w:r>
        <w:t xml:space="preserve"> </w:t>
      </w:r>
      <w:r>
        <w:rPr>
          <w:rStyle w:val="VerbatimChar"/>
        </w:rPr>
        <w:t xml:space="preserve">reports\H1 – encounters vs tortuosity.docx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reports\H2 – alignment vs distance.docx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reports\H3 – peri-contact reorientation.docx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reports\audit_report.md</w:t>
      </w:r>
      <w:r>
        <w:t xml:space="preserve">, and figures</w:t>
      </w:r>
      <w:r>
        <w:t xml:space="preserve"> </w:t>
      </w:r>
      <w:r>
        <w:rPr>
          <w:rStyle w:val="VerbatimChar"/>
        </w:rPr>
        <w:t xml:space="preserve">F1–F4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sidecars). Underlying results:</w:t>
      </w:r>
      <w:r>
        <w:t xml:space="preserve"> </w:t>
      </w:r>
      <w:r>
        <w:rPr>
          <w:rStyle w:val="VerbatimChar"/>
        </w:rPr>
        <w:t xml:space="preserve">data\stats.json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data\trajectory_metrics.{json,h5}</w:t>
      </w:r>
      <w:r>
        <w:t xml:space="preserve">; seed 1234;</w:t>
      </w:r>
      <w:r>
        <w:t xml:space="preserve"> </w:t>
      </w:r>
      <w:r>
        <w:rPr>
          <w:rStyle w:val="VerbatimChar"/>
        </w:rPr>
        <w:t xml:space="preserve">traj_common/1.0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2026-08-08T05:39:57Z</dcterms:created>
  <dcterms:modified xsi:type="dcterms:W3CDTF">2026-08-08T05:39:57Z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