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Neuropixels Data Console</w:t>
      </w:r>
    </w:p>
    <w:p>
      <w:pPr>
        <w:spacing w:after="200"/>
      </w:pPr>
      <w:r>
        <w:rPr>
          <w:color w:val="595959"/>
          <w:sz w:val="26"/>
          <w:szCs w:val="26"/>
        </w:rPr>
        <w:t xml:space="preserve">User Guide</w:t>
      </w:r>
    </w:p>
    <w:p>
      <w:pPr>
        <w:pStyle w:val="Heading1"/>
        <w:spacing w:after="90" w:before="220"/>
      </w:pPr>
      <w:r>
        <w:t xml:space="preserve">1. Overview</w:t>
      </w:r>
    </w:p>
    <w:p>
      <w:pPr>
        <w:spacing w:after="90"/>
      </w:pPr>
      <w:r>
        <w:rPr>
          <w:sz w:val="21"/>
          <w:szCs w:val="21"/>
        </w:rPr>
        <w:t xml:space="preserve">The Data Console is a desktop GUI for exploring the cross-experiment Neuropixels aggregate (np_aggregate.h5). It opens a window showing the probe layout for a chosen experiment; you pick a frequency band and a time window, click one or more electrodes, and open a signal view with the ethanol and sniff traces, the filtered LFP, and unit rasters — which you can export as a PNG with a matching metadata text file.</w:t>
      </w:r>
    </w:p>
    <w:p>
      <w:pPr>
        <w:pStyle w:val="Heading1"/>
        <w:spacing w:after="90" w:before="220"/>
      </w:pPr>
      <w:r>
        <w:t xml:space="preserve">2. Requirements</w:t>
      </w:r>
    </w:p>
    <w:p>
      <w:pPr>
        <w:spacing w:after="90"/>
      </w:pPr>
      <w:r>
        <w:rPr>
          <w:sz w:val="21"/>
          <w:szCs w:val="21"/>
        </w:rPr>
        <w:t xml:space="preserve">Runs on the workstation where np_aggregate.h5 lives, in the same Python environment as the Optimized Python kernel (numpy, scipy, matplotlib, h5py). The GUI itself uses Tkinter, which ships with Python — no extra install. It reads only the aggregate; no raw-data access is needed.</w:t>
      </w:r>
    </w:p>
    <w:p>
      <w:pPr>
        <w:pStyle w:val="Heading1"/>
        <w:spacing w:after="90" w:before="220"/>
      </w:pPr>
      <w:r>
        <w:t xml:space="preserve">3. Running the console</w:t>
      </w:r>
    </w:p>
    <w:p>
      <w:pPr>
        <w:spacing w:after="90"/>
      </w:pPr>
      <w:r>
        <w:rPr>
          <w:rFonts w:ascii="Consolas" w:cs="Consolas" w:eastAsia="Consolas" w:hAnsi="Consolas"/>
          <w:sz w:val="20"/>
          <w:szCs w:val="20"/>
        </w:rPr>
        <w:t xml:space="preserve">python "C:\Projects\Repos\Neuropixels\Data Console\Code\np_console.py"</w:t>
      </w:r>
    </w:p>
    <w:p>
      <w:pPr>
        <w:spacing w:after="90"/>
      </w:pPr>
      <w:r>
        <w:rPr>
          <w:sz w:val="21"/>
          <w:szCs w:val="21"/>
        </w:rPr>
        <w:t xml:space="preserve">Point it at a different aggregate by passing the path:</w:t>
      </w:r>
    </w:p>
    <w:p>
      <w:pPr>
        <w:spacing w:after="90"/>
      </w:pPr>
      <w:r>
        <w:rPr>
          <w:rFonts w:ascii="Consolas" w:cs="Consolas" w:eastAsia="Consolas" w:hAnsi="Consolas"/>
          <w:sz w:val="20"/>
          <w:szCs w:val="20"/>
        </w:rPr>
        <w:t xml:space="preserve">python np_console.py  "D:\path\to\np_aggregate.h5"</w:t>
      </w:r>
    </w:p>
    <w:p>
      <w:pPr>
        <w:spacing w:after="90"/>
      </w:pPr>
      <w:r>
        <w:rPr>
          <w:sz w:val="21"/>
          <w:szCs w:val="21"/>
        </w:rPr>
        <w:t xml:space="preserve">If launched with no argument it opens the default aggregate at C:\Projects\Repos\Neuropixels\DATA\Aggregate\np_aggregate.h5. Run it directly with python (not through the research_workflow hooks), and do not cd into a subfolder first.</w:t>
      </w:r>
    </w:p>
    <w:p>
      <w:pPr>
        <w:pStyle w:val="Heading1"/>
        <w:spacing w:after="90" w:before="220"/>
      </w:pPr>
      <w:r>
        <w:t xml:space="preserve">4. The main window</w:t>
      </w:r>
    </w:p>
    <w:p>
      <w:pPr>
        <w:spacing w:after="90"/>
      </w:pPr>
      <w:r>
        <w:rPr>
          <w:sz w:val="21"/>
          <w:szCs w:val="21"/>
        </w:rPr>
        <w:t xml:space="preserve">The centre shows the probe on a black background. The map elements:</w:t>
      </w:r>
    </w:p>
    <w:p>
      <w:pPr>
        <w:pStyle w:val="ListParagraph"/>
        <w:numPr>
          <w:ilvl w:val="0"/>
          <w:numId w:val="1"/>
        </w:numPr>
        <w:spacing w:after="40"/>
      </w:pPr>
      <w:r>
        <w:rPr>
          <w:sz w:val="21"/>
          <w:szCs w:val="21"/>
        </w:rPr>
        <w:t xml:space="preserve">Grey shanks with a pointed tip at the bottom; depth increases upward (tip at bottom, surface at top).</w:t>
      </w:r>
    </w:p>
    <w:p>
      <w:pPr>
        <w:pStyle w:val="ListParagraph"/>
        <w:numPr>
          <w:ilvl w:val="0"/>
          <w:numId w:val="1"/>
        </w:numPr>
        <w:spacing w:after="40"/>
      </w:pPr>
      <w:r>
        <w:rPr>
          <w:sz w:val="21"/>
          <w:szCs w:val="21"/>
        </w:rPr>
        <w:t xml:space="preserve">White squares — every active recording electrode.</w:t>
      </w:r>
    </w:p>
    <w:p>
      <w:pPr>
        <w:pStyle w:val="ListParagraph"/>
        <w:numPr>
          <w:ilvl w:val="0"/>
          <w:numId w:val="1"/>
        </w:numPr>
        <w:spacing w:after="40"/>
      </w:pPr>
      <w:r>
        <w:rPr>
          <w:sz w:val="21"/>
          <w:szCs w:val="21"/>
        </w:rPr>
        <w:t xml:space="preserve">Filled dots (jet colormap) — electrodes that have units; the colour encodes how many units are at that electrode (see the colour bar).</w:t>
      </w:r>
    </w:p>
    <w:p>
      <w:pPr>
        <w:pStyle w:val="ListParagraph"/>
        <w:numPr>
          <w:ilvl w:val="0"/>
          <w:numId w:val="1"/>
        </w:numPr>
        <w:spacing w:after="40"/>
      </w:pPr>
      <w:r>
        <w:rPr>
          <w:sz w:val="21"/>
          <w:szCs w:val="21"/>
        </w:rPr>
        <w:t xml:space="preserve">Open cyan circles — the LFP sampling sites (the 32 retained LFP channels).</w:t>
      </w:r>
    </w:p>
    <w:p>
      <w:pPr>
        <w:pStyle w:val="ListParagraph"/>
        <w:numPr>
          <w:ilvl w:val="0"/>
          <w:numId w:val="1"/>
        </w:numPr>
        <w:spacing w:after="40"/>
      </w:pPr>
      <w:r>
        <w:rPr>
          <w:sz w:val="21"/>
          <w:szCs w:val="21"/>
        </w:rPr>
        <w:t xml:space="preserve">Yellow rings — electrodes you have selected.</w:t>
      </w:r>
    </w:p>
    <w:p>
      <w:pPr>
        <w:spacing w:after="90"/>
      </w:pPr>
      <w:r>
        <w:rPr>
          <w:sz w:val="21"/>
          <w:szCs w:val="21"/>
        </w:rPr>
        <w:t xml:space="preserve">The controls across the top: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460"/>
      </w:tblGrid>
      <w:tr>
        <w:trPr>
          <w:tblHeader/>
        </w:trPr>
        <w:tc>
          <w:tcPr>
            <w:tcW w:type="dxa" w:w="1900"/>
            <w:shd w:fill="1F4E79" w:val="clear"/>
            <w:tcMar>
              <w:top w:type="dxa" w:w="60"/>
              <w:left w:type="dxa" w:w="100"/>
              <w:bottom w:type="dxa" w:w="60"/>
              <w:right w:type="dxa" w:w="100"/>
            </w:tcMar>
          </w:tcPr>
          <w:p>
            <w:r>
              <w:rPr>
                <w:b/>
                <w:bCs/>
                <w:color w:val="FFFFFF"/>
                <w:sz w:val="20"/>
                <w:szCs w:val="20"/>
              </w:rPr>
              <w:t xml:space="preserve">Control</w:t>
            </w:r>
          </w:p>
        </w:tc>
        <w:tc>
          <w:tcPr>
            <w:tcW w:type="dxa" w:w="7460"/>
            <w:shd w:fill="1F4E79" w:val="clear"/>
            <w:tcMar>
              <w:top w:type="dxa" w:w="60"/>
              <w:left w:type="dxa" w:w="100"/>
              <w:bottom w:type="dxa" w:w="60"/>
              <w:right w:type="dxa" w:w="100"/>
            </w:tcMar>
          </w:tcPr>
          <w:p>
            <w:r>
              <w:rPr>
                <w:b/>
                <w:bCs/>
                <w:color w:val="FFFFFF"/>
                <w:sz w:val="20"/>
                <w:szCs w:val="20"/>
              </w:rPr>
              <w:t xml:space="preserve">What it does</w:t>
            </w:r>
          </w:p>
        </w:tc>
      </w:tr>
      <w:tr>
        <w:trPr>
          <w:tblHeader w:val="false"/>
        </w:trPr>
        <w:tc>
          <w:tcPr>
            <w:tcW w:type="dxa" w:w="1900"/>
            <w:shd w:fill="FFFFFF" w:val="clear"/>
            <w:tcMar>
              <w:top w:type="dxa" w:w="60"/>
              <w:left w:type="dxa" w:w="100"/>
              <w:bottom w:type="dxa" w:w="60"/>
              <w:right w:type="dxa" w:w="100"/>
            </w:tcMar>
          </w:tcPr>
          <w:p>
            <w:r>
              <w:rPr>
                <w:b w:val="false"/>
                <w:bCs w:val="false"/>
                <w:color w:val="000000"/>
                <w:sz w:val="20"/>
                <w:szCs w:val="20"/>
              </w:rPr>
              <w:t xml:space="preserve">Date</w:t>
            </w:r>
          </w:p>
        </w:tc>
        <w:tc>
          <w:tcPr>
            <w:tcW w:type="dxa" w:w="7460"/>
            <w:shd w:fill="FFFFFF" w:val="clear"/>
            <w:tcMar>
              <w:top w:type="dxa" w:w="60"/>
              <w:left w:type="dxa" w:w="100"/>
              <w:bottom w:type="dxa" w:w="60"/>
              <w:right w:type="dxa" w:w="100"/>
            </w:tcMar>
          </w:tcPr>
          <w:p>
            <w:r>
              <w:rPr>
                <w:b w:val="false"/>
                <w:bCs w:val="false"/>
                <w:color w:val="000000"/>
                <w:sz w:val="20"/>
                <w:szCs w:val="20"/>
              </w:rPr>
              <w:t xml:space="preserve">Which experiment to load. Changing it redraws the probe.</w:t>
            </w:r>
          </w:p>
        </w:tc>
      </w:tr>
      <w:tr>
        <w:trPr>
          <w:tblHeader w:val="false"/>
        </w:trPr>
        <w:tc>
          <w:tcPr>
            <w:tcW w:type="dxa" w:w="1900"/>
            <w:shd w:fill="FFFFFF" w:val="clear"/>
            <w:tcMar>
              <w:top w:type="dxa" w:w="60"/>
              <w:left w:type="dxa" w:w="100"/>
              <w:bottom w:type="dxa" w:w="60"/>
              <w:right w:type="dxa" w:w="100"/>
            </w:tcMar>
          </w:tcPr>
          <w:p>
            <w:r>
              <w:rPr>
                <w:b w:val="false"/>
                <w:bCs w:val="false"/>
                <w:color w:val="000000"/>
                <w:sz w:val="20"/>
                <w:szCs w:val="20"/>
              </w:rPr>
              <w:t xml:space="preserve">LFP band</w:t>
            </w:r>
          </w:p>
        </w:tc>
        <w:tc>
          <w:tcPr>
            <w:tcW w:type="dxa" w:w="7460"/>
            <w:shd w:fill="FFFFFF" w:val="clear"/>
            <w:tcMar>
              <w:top w:type="dxa" w:w="60"/>
              <w:left w:type="dxa" w:w="100"/>
              <w:bottom w:type="dxa" w:w="60"/>
              <w:right w:type="dxa" w:w="100"/>
            </w:tcMar>
          </w:tcPr>
          <w:p>
            <w:r>
              <w:rPr>
                <w:b w:val="false"/>
                <w:bCs w:val="false"/>
                <w:color w:val="000000"/>
                <w:sz w:val="20"/>
                <w:szCs w:val="20"/>
              </w:rPr>
              <w:t xml:space="preserve">Preset band the LFP is filtered to for viewing (Raw, Delta, Theta, Beta, Gamma, High gamma), or “Custom (Hz fields)”.</w:t>
            </w:r>
          </w:p>
        </w:tc>
      </w:tr>
      <w:tr>
        <w:trPr>
          <w:tblHeader w:val="false"/>
        </w:trPr>
        <w:tc>
          <w:tcPr>
            <w:tcW w:type="dxa" w:w="1900"/>
            <w:shd w:fill="FFFFFF" w:val="clear"/>
            <w:tcMar>
              <w:top w:type="dxa" w:w="60"/>
              <w:left w:type="dxa" w:w="100"/>
              <w:bottom w:type="dxa" w:w="60"/>
              <w:right w:type="dxa" w:w="100"/>
            </w:tcMar>
          </w:tcPr>
          <w:p>
            <w:r>
              <w:rPr>
                <w:b w:val="false"/>
                <w:bCs w:val="false"/>
                <w:color w:val="000000"/>
                <w:sz w:val="20"/>
                <w:szCs w:val="20"/>
              </w:rPr>
              <w:t xml:space="preserve">custom Hz</w:t>
            </w:r>
          </w:p>
        </w:tc>
        <w:tc>
          <w:tcPr>
            <w:tcW w:type="dxa" w:w="7460"/>
            <w:shd w:fill="FFFFFF" w:val="clear"/>
            <w:tcMar>
              <w:top w:type="dxa" w:w="60"/>
              <w:left w:type="dxa" w:w="100"/>
              <w:bottom w:type="dxa" w:w="60"/>
              <w:right w:type="dxa" w:w="100"/>
            </w:tcMar>
          </w:tcPr>
          <w:p>
            <w:r>
              <w:rPr>
                <w:b w:val="false"/>
                <w:bCs w:val="false"/>
                <w:color w:val="000000"/>
                <w:sz w:val="20"/>
                <w:szCs w:val="20"/>
              </w:rPr>
              <w:t xml:space="preserve">Low–high band used when the LFP band is set to Custom.</w:t>
            </w:r>
          </w:p>
        </w:tc>
      </w:tr>
      <w:tr>
        <w:trPr>
          <w:tblHeader w:val="false"/>
        </w:trPr>
        <w:tc>
          <w:tcPr>
            <w:tcW w:type="dxa" w:w="1900"/>
            <w:shd w:fill="FFFFFF" w:val="clear"/>
            <w:tcMar>
              <w:top w:type="dxa" w:w="60"/>
              <w:left w:type="dxa" w:w="100"/>
              <w:bottom w:type="dxa" w:w="60"/>
              <w:right w:type="dxa" w:w="100"/>
            </w:tcMar>
          </w:tcPr>
          <w:p>
            <w:r>
              <w:rPr>
                <w:b w:val="false"/>
                <w:bCs w:val="false"/>
                <w:color w:val="000000"/>
                <w:sz w:val="20"/>
                <w:szCs w:val="20"/>
              </w:rPr>
              <w:t xml:space="preserve">Trial</w:t>
            </w:r>
          </w:p>
        </w:tc>
        <w:tc>
          <w:tcPr>
            <w:tcW w:type="dxa" w:w="7460"/>
            <w:shd w:fill="FFFFFF" w:val="clear"/>
            <w:tcMar>
              <w:top w:type="dxa" w:w="60"/>
              <w:left w:type="dxa" w:w="100"/>
              <w:bottom w:type="dxa" w:w="60"/>
              <w:right w:type="dxa" w:w="100"/>
            </w:tcMar>
          </w:tcPr>
          <w:p>
            <w:r>
              <w:rPr>
                <w:b w:val="false"/>
                <w:bCs w:val="false"/>
                <w:color w:val="000000"/>
                <w:sz w:val="20"/>
                <w:szCs w:val="20"/>
              </w:rPr>
              <w:t xml:space="preserve">Trial number to view (from the LabView trial markers). Disabled/“whole recording” when the session has no sensor/trial data.</w:t>
            </w:r>
          </w:p>
        </w:tc>
      </w:tr>
      <w:tr>
        <w:trPr>
          <w:tblHeader w:val="false"/>
        </w:trPr>
        <w:tc>
          <w:tcPr>
            <w:tcW w:type="dxa" w:w="1900"/>
            <w:shd w:fill="FFFFFF" w:val="clear"/>
            <w:tcMar>
              <w:top w:type="dxa" w:w="60"/>
              <w:left w:type="dxa" w:w="100"/>
              <w:bottom w:type="dxa" w:w="60"/>
              <w:right w:type="dxa" w:w="100"/>
            </w:tcMar>
          </w:tcPr>
          <w:p>
            <w:r>
              <w:rPr>
                <w:b w:val="false"/>
                <w:bCs w:val="false"/>
                <w:color w:val="000000"/>
                <w:sz w:val="20"/>
                <w:szCs w:val="20"/>
              </w:rPr>
              <w:t xml:space="preserve">start / end (s)</w:t>
            </w:r>
          </w:p>
        </w:tc>
        <w:tc>
          <w:tcPr>
            <w:tcW w:type="dxa" w:w="7460"/>
            <w:shd w:fill="FFFFFF" w:val="clear"/>
            <w:tcMar>
              <w:top w:type="dxa" w:w="60"/>
              <w:left w:type="dxa" w:w="100"/>
              <w:bottom w:type="dxa" w:w="60"/>
              <w:right w:type="dxa" w:w="100"/>
            </w:tcMar>
          </w:tcPr>
          <w:p>
            <w:r>
              <w:rPr>
                <w:b w:val="false"/>
                <w:bCs w:val="false"/>
                <w:color w:val="000000"/>
                <w:sz w:val="20"/>
                <w:szCs w:val="20"/>
              </w:rPr>
              <w:t xml:space="preserve">Time window. With a trial selected these are seconds WITHIN that trial; with no trials they are absolute seconds from the recording start.</w:t>
            </w:r>
          </w:p>
        </w:tc>
      </w:tr>
    </w:tbl>
    <w:p>
      <w:pPr>
        <w:pStyle w:val="Heading1"/>
        <w:spacing w:after="90" w:before="220"/>
      </w:pPr>
      <w:r>
        <w:t xml:space="preserve">5. Selecting electrodes</w:t>
      </w:r>
    </w:p>
    <w:p>
      <w:pPr>
        <w:pStyle w:val="ListParagraph"/>
        <w:numPr>
          <w:ilvl w:val="0"/>
          <w:numId w:val="1"/>
        </w:numPr>
        <w:spacing w:after="40"/>
      </w:pPr>
      <w:r>
        <w:rPr>
          <w:sz w:val="21"/>
          <w:szCs w:val="21"/>
        </w:rPr>
        <w:t xml:space="preserve">Click an electrode to select it (a yellow ring appears); click it again to deselect. Select as many as you like.</w:t>
      </w:r>
    </w:p>
    <w:p>
      <w:pPr>
        <w:pStyle w:val="ListParagraph"/>
        <w:numPr>
          <w:ilvl w:val="0"/>
          <w:numId w:val="1"/>
        </w:numPr>
        <w:spacing w:after="40"/>
      </w:pPr>
      <w:r>
        <w:rPr>
          <w:sz w:val="21"/>
          <w:szCs w:val="21"/>
        </w:rPr>
        <w:t xml:space="preserve">Use the toolbar's zoom/pan to work in close — clicks are ignored while a zoom/pan tool is active, so switch the tool off to select again.</w:t>
      </w:r>
    </w:p>
    <w:p>
      <w:pPr>
        <w:pStyle w:val="ListParagraph"/>
        <w:numPr>
          <w:ilvl w:val="0"/>
          <w:numId w:val="1"/>
        </w:numPr>
        <w:spacing w:after="40"/>
      </w:pPr>
      <w:r>
        <w:rPr>
          <w:sz w:val="21"/>
          <w:szCs w:val="21"/>
        </w:rPr>
        <w:t xml:space="preserve">“Clear selection” removes all rings. The status line shows how many electrodes are selected and their depths.</w:t>
      </w:r>
    </w:p>
    <w:p>
      <w:pPr>
        <w:pStyle w:val="Heading1"/>
        <w:spacing w:after="90" w:before="220"/>
      </w:pPr>
      <w:r>
        <w:t xml:space="preserve">6. The View window</w:t>
      </w:r>
    </w:p>
    <w:p>
      <w:pPr>
        <w:spacing w:after="90"/>
      </w:pPr>
      <w:r>
        <w:rPr>
          <w:sz w:val="21"/>
          <w:szCs w:val="21"/>
        </w:rPr>
        <w:t xml:space="preserve">Press “View” to open the signal window for the current selection and window. From top to bottom it shows:</w:t>
      </w:r>
    </w:p>
    <w:p>
      <w:pPr>
        <w:pStyle w:val="ListParagraph"/>
        <w:numPr>
          <w:ilvl w:val="0"/>
          <w:numId w:val="1"/>
        </w:numPr>
        <w:spacing w:after="40"/>
      </w:pPr>
      <w:r>
        <w:rPr>
          <w:sz w:val="21"/>
          <w:szCs w:val="21"/>
        </w:rPr>
        <w:t xml:space="preserve">Ethanol (ETH) trace for the time window (if the session has sensors).</w:t>
      </w:r>
    </w:p>
    <w:p>
      <w:pPr>
        <w:pStyle w:val="ListParagraph"/>
        <w:numPr>
          <w:ilvl w:val="0"/>
          <w:numId w:val="1"/>
        </w:numPr>
        <w:spacing w:after="40"/>
      </w:pPr>
      <w:r>
        <w:rPr>
          <w:sz w:val="21"/>
          <w:szCs w:val="21"/>
        </w:rPr>
        <w:t xml:space="preserve">Sniff (SNF) trace, shown only when a clear respiratory rhythm is present in that window.</w:t>
      </w:r>
    </w:p>
    <w:p>
      <w:pPr>
        <w:pStyle w:val="ListParagraph"/>
        <w:numPr>
          <w:ilvl w:val="0"/>
          <w:numId w:val="1"/>
        </w:numPr>
        <w:spacing w:after="40"/>
      </w:pPr>
      <w:r>
        <w:rPr>
          <w:sz w:val="21"/>
          <w:szCs w:val="21"/>
        </w:rPr>
        <w:t xml:space="preserve">One filtered LFP trace per selected electrode, each with the rasters of the units at that electrode beneath it. Traces are labelled by shank and depth (e.g. “Sh0  1995µm”) and ordered by depth on their shank (tip at the bottom).</w:t>
      </w:r>
    </w:p>
    <w:p>
      <w:pPr>
        <w:spacing w:after="90"/>
      </w:pPr>
      <w:r>
        <w:rPr>
          <w:sz w:val="21"/>
          <w:szCs w:val="21"/>
        </w:rPr>
        <w:t xml:space="preserve">A microvolt scale bar is drawn at the lower right. Each selected electrode's LFP is taken from the nearest LFP sampling site on the same shank; the units shown are those within roughly half an LFP-site spacing of the selected electrode.</w:t>
      </w:r>
    </w:p>
    <w:p>
      <w:pPr>
        <w:pStyle w:val="Heading1"/>
        <w:spacing w:after="90" w:before="220"/>
      </w:pPr>
      <w:r>
        <w:t xml:space="preserve">7. Saving a figure</w:t>
      </w:r>
    </w:p>
    <w:p>
      <w:pPr>
        <w:spacing w:after="90"/>
      </w:pPr>
      <w:r>
        <w:rPr>
          <w:sz w:val="21"/>
          <w:szCs w:val="21"/>
        </w:rPr>
        <w:t xml:space="preserve">In the View window press “Save PNG…”. A folder dialog opens; choose a destination. The console writes two files there with the same base name (date + band + window):</w:t>
      </w:r>
    </w:p>
    <w:p>
      <w:pPr>
        <w:pStyle w:val="ListParagraph"/>
        <w:numPr>
          <w:ilvl w:val="0"/>
          <w:numId w:val="1"/>
        </w:numPr>
        <w:spacing w:after="40"/>
      </w:pPr>
      <w:r>
        <w:rPr>
          <w:sz w:val="21"/>
          <w:szCs w:val="21"/>
        </w:rPr>
        <w:t xml:space="preserve">a .png of the current figure, and</w:t>
      </w:r>
    </w:p>
    <w:p>
      <w:pPr>
        <w:pStyle w:val="ListParagraph"/>
        <w:numPr>
          <w:ilvl w:val="0"/>
          <w:numId w:val="1"/>
        </w:numPr>
        <w:spacing w:after="40"/>
      </w:pPr>
      <w:r>
        <w:rPr>
          <w:sz w:val="21"/>
          <w:szCs w:val="21"/>
        </w:rPr>
        <w:t xml:space="preserve">a .txt with the metadata needed to reproduce it.</w:t>
      </w:r>
    </w:p>
    <w:p>
      <w:pPr>
        <w:spacing w:after="90"/>
      </w:pPr>
      <w:r>
        <w:rPr>
          <w:sz w:val="21"/>
          <w:szCs w:val="21"/>
        </w:rPr>
        <w:t xml:space="preserve">The metadata file records: aggregate path, date and experiment name, LFP band (name and Hz), LFP sampling rate, trial and within-trial window, the absolute time window, whether ethanol/sniff were shown, the selected electrodes (index, x, y, shank), and the unit IDs displayed.</w:t>
      </w:r>
    </w:p>
    <w:p>
      <w:pPr>
        <w:pStyle w:val="Heading1"/>
        <w:spacing w:after="90" w:before="220"/>
      </w:pPr>
      <w:r>
        <w:t xml:space="preserve">8. Precise unit positions (exact shank placement)</w:t>
      </w:r>
    </w:p>
    <w:p>
      <w:pPr>
        <w:spacing w:after="90"/>
      </w:pPr>
      <w:r>
        <w:rPr>
          <w:sz w:val="21"/>
          <w:szCs w:val="21"/>
        </w:rPr>
        <w:t xml:space="preserve">By default the aggregate stores each unit's depth but not its shank, so on a multi-shank probe the unit dots collapse onto one shank (the probe map says so). To place units on the correct shank, run the one-time augmentation script once per aggregate:</w:t>
      </w:r>
    </w:p>
    <w:p>
      <w:pPr>
        <w:spacing w:after="90"/>
      </w:pPr>
      <w:r>
        <w:rPr>
          <w:rFonts w:ascii="Consolas" w:cs="Consolas" w:eastAsia="Consolas" w:hAnsi="Consolas"/>
          <w:sz w:val="20"/>
          <w:szCs w:val="20"/>
        </w:rPr>
        <w:t xml:space="preserve">python "C:\Projects\Repos\Neuropixels\DATA\Aggregate\add_unit_positions.py"</w:t>
      </w:r>
    </w:p>
    <w:p>
      <w:pPr>
        <w:spacing w:after="90"/>
      </w:pPr>
      <w:r>
        <w:rPr>
          <w:sz w:val="21"/>
          <w:szCs w:val="21"/>
        </w:rPr>
        <w:t xml:space="preserve">It reads only the Kilosort output (templates + channel positions) for each spike-bearing session and writes precise per-unit coordinates (unitXcoords, unitYcoords, unitShank) back into np_aggregate.h5 in place. It does NOT re-read the raw .ap.bin, so it takes seconds per session rather than the hours a full build_aggregate rebuild would. Run it from the project root with the full path (do not cd first); it needs the Kilosort dirs to be reachable (X: connected). Once it has run, the console uses these coordinates automatically and units appear on the correct shank; the “approximate” note disappears.</w:t>
      </w:r>
    </w:p>
    <w:p>
      <w:pPr>
        <w:pStyle w:val="Heading1"/>
        <w:spacing w:after="90" w:before="220"/>
      </w:pPr>
      <w:r>
        <w:t xml:space="preserve">9. Files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F4E79" w:val="clear"/>
            <w:tcMar>
              <w:top w:type="dxa" w:w="60"/>
              <w:left w:type="dxa" w:w="100"/>
              <w:bottom w:type="dxa" w:w="60"/>
              <w:right w:type="dxa" w:w="100"/>
            </w:tcMar>
          </w:tcPr>
          <w:p>
            <w:r>
              <w:rPr>
                <w:b/>
                <w:bCs/>
                <w:color w:val="FFFFFF"/>
                <w:sz w:val="20"/>
                <w:szCs w:val="20"/>
              </w:rPr>
              <w:t xml:space="preserve">File</w:t>
            </w:r>
          </w:p>
        </w:tc>
        <w:tc>
          <w:tcPr>
            <w:tcW w:type="dxa" w:w="6960"/>
            <w:shd w:fill="1F4E79" w:val="clear"/>
            <w:tcMar>
              <w:top w:type="dxa" w:w="60"/>
              <w:left w:type="dxa" w:w="100"/>
              <w:bottom w:type="dxa" w:w="60"/>
              <w:right w:type="dxa" w:w="100"/>
            </w:tcMar>
          </w:tcPr>
          <w:p>
            <w:r>
              <w:rPr>
                <w:b/>
                <w:bCs/>
                <w:color w:val="FFFFFF"/>
                <w:sz w:val="20"/>
                <w:szCs w:val="20"/>
              </w:rPr>
              <w:t xml:space="preserve">Role</w:t>
            </w:r>
          </w:p>
        </w:tc>
      </w:tr>
      <w:tr>
        <w:trPr>
          <w:tblHeader w:val="false"/>
        </w:trPr>
        <w:tc>
          <w:tcPr>
            <w:tcW w:type="dxa" w:w="2400"/>
            <w:shd w:fill="FFFFFF" w:val="clear"/>
            <w:tcMar>
              <w:top w:type="dxa" w:w="60"/>
              <w:left w:type="dxa" w:w="100"/>
              <w:bottom w:type="dxa" w:w="60"/>
              <w:right w:type="dxa" w:w="100"/>
            </w:tcMar>
          </w:tcPr>
          <w:p>
            <w:r>
              <w:rPr>
                <w:b w:val="false"/>
                <w:bCs w:val="false"/>
                <w:color w:val="000000"/>
                <w:sz w:val="20"/>
                <w:szCs w:val="20"/>
              </w:rPr>
              <w:t xml:space="preserve">np_console.py</w:t>
            </w:r>
          </w:p>
        </w:tc>
        <w:tc>
          <w:tcPr>
            <w:tcW w:type="dxa" w:w="6960"/>
            <w:shd w:fill="FFFFFF" w:val="clear"/>
            <w:tcMar>
              <w:top w:type="dxa" w:w="60"/>
              <w:left w:type="dxa" w:w="100"/>
              <w:bottom w:type="dxa" w:w="60"/>
              <w:right w:type="dxa" w:w="100"/>
            </w:tcMar>
          </w:tcPr>
          <w:p>
            <w:r>
              <w:rPr>
                <w:b w:val="false"/>
                <w:bCs w:val="false"/>
                <w:color w:val="000000"/>
                <w:sz w:val="20"/>
                <w:szCs w:val="20"/>
              </w:rPr>
              <w:t xml:space="preserve">Run this to open the GUI. Windows, dropdowns, click handling, export.</w:t>
            </w:r>
          </w:p>
        </w:tc>
      </w:tr>
      <w:tr>
        <w:trPr>
          <w:tblHeader w:val="false"/>
        </w:trPr>
        <w:tc>
          <w:tcPr>
            <w:tcW w:type="dxa" w:w="2400"/>
            <w:shd w:fill="FFFFFF" w:val="clear"/>
            <w:tcMar>
              <w:top w:type="dxa" w:w="60"/>
              <w:left w:type="dxa" w:w="100"/>
              <w:bottom w:type="dxa" w:w="60"/>
              <w:right w:type="dxa" w:w="100"/>
            </w:tcMar>
          </w:tcPr>
          <w:p>
            <w:r>
              <w:rPr>
                <w:b w:val="false"/>
                <w:bCs w:val="false"/>
                <w:color w:val="000000"/>
                <w:sz w:val="20"/>
                <w:szCs w:val="20"/>
              </w:rPr>
              <w:t xml:space="preserve">console_data.py</w:t>
            </w:r>
          </w:p>
        </w:tc>
        <w:tc>
          <w:tcPr>
            <w:tcW w:type="dxa" w:w="6960"/>
            <w:shd w:fill="FFFFFF" w:val="clear"/>
            <w:tcMar>
              <w:top w:type="dxa" w:w="60"/>
              <w:left w:type="dxa" w:w="100"/>
              <w:bottom w:type="dxa" w:w="60"/>
              <w:right w:type="dxa" w:w="100"/>
            </w:tcMar>
          </w:tcPr>
          <w:p>
            <w:r>
              <w:rPr>
                <w:b w:val="false"/>
                <w:bCs w:val="false"/>
                <w:color w:val="000000"/>
                <w:sz w:val="20"/>
                <w:szCs w:val="20"/>
              </w:rPr>
              <w:t xml:space="preserve">Data layer: loads a session, probe geometry/shanks, per-electrode unit counts, trial→time mapping, band filtering, spikes, sensors.</w:t>
            </w:r>
          </w:p>
        </w:tc>
      </w:tr>
      <w:tr>
        <w:trPr>
          <w:tblHeader w:val="false"/>
        </w:trPr>
        <w:tc>
          <w:tcPr>
            <w:tcW w:type="dxa" w:w="2400"/>
            <w:shd w:fill="FFFFFF" w:val="clear"/>
            <w:tcMar>
              <w:top w:type="dxa" w:w="60"/>
              <w:left w:type="dxa" w:w="100"/>
              <w:bottom w:type="dxa" w:w="60"/>
              <w:right w:type="dxa" w:w="100"/>
            </w:tcMar>
          </w:tcPr>
          <w:p>
            <w:r>
              <w:rPr>
                <w:b w:val="false"/>
                <w:bCs w:val="false"/>
                <w:color w:val="000000"/>
                <w:sz w:val="20"/>
                <w:szCs w:val="20"/>
              </w:rPr>
              <w:t xml:space="preserve">console_figures.py</w:t>
            </w:r>
          </w:p>
        </w:tc>
        <w:tc>
          <w:tcPr>
            <w:tcW w:type="dxa" w:w="6960"/>
            <w:shd w:fill="FFFFFF" w:val="clear"/>
            <w:tcMar>
              <w:top w:type="dxa" w:w="60"/>
              <w:left w:type="dxa" w:w="100"/>
              <w:bottom w:type="dxa" w:w="60"/>
              <w:right w:type="dxa" w:w="100"/>
            </w:tcMar>
          </w:tcPr>
          <w:p>
            <w:r>
              <w:rPr>
                <w:b w:val="false"/>
                <w:bCs w:val="false"/>
                <w:color w:val="000000"/>
                <w:sz w:val="20"/>
                <w:szCs w:val="20"/>
              </w:rPr>
              <w:t xml:space="preserve">Builds the probe-map figure and the view figure (ethanol/sniff/LFP+rasters).</w:t>
            </w:r>
          </w:p>
        </w:tc>
      </w:tr>
      <w:tr>
        <w:trPr>
          <w:tblHeader w:val="false"/>
        </w:trPr>
        <w:tc>
          <w:tcPr>
            <w:tcW w:type="dxa" w:w="2400"/>
            <w:shd w:fill="FFFFFF" w:val="clear"/>
            <w:tcMar>
              <w:top w:type="dxa" w:w="60"/>
              <w:left w:type="dxa" w:w="100"/>
              <w:bottom w:type="dxa" w:w="60"/>
              <w:right w:type="dxa" w:w="100"/>
            </w:tcMar>
          </w:tcPr>
          <w:p>
            <w:r>
              <w:rPr>
                <w:b w:val="false"/>
                <w:bCs w:val="false"/>
                <w:color w:val="000000"/>
                <w:sz w:val="20"/>
                <w:szCs w:val="20"/>
              </w:rPr>
              <w:t xml:space="preserve">add_unit_positions.py</w:t>
            </w:r>
          </w:p>
        </w:tc>
        <w:tc>
          <w:tcPr>
            <w:tcW w:type="dxa" w:w="6960"/>
            <w:shd w:fill="FFFFFF" w:val="clear"/>
            <w:tcMar>
              <w:top w:type="dxa" w:w="60"/>
              <w:left w:type="dxa" w:w="100"/>
              <w:bottom w:type="dxa" w:w="60"/>
              <w:right w:type="dxa" w:w="100"/>
            </w:tcMar>
          </w:tcPr>
          <w:p>
            <w:r>
              <w:rPr>
                <w:b w:val="false"/>
                <w:bCs w:val="false"/>
                <w:color w:val="000000"/>
                <w:sz w:val="20"/>
                <w:szCs w:val="20"/>
              </w:rPr>
              <w:t xml:space="preserve">One-time aggregate augmentation for precise per-unit x/y/shank (lives in DATA\Aggregate). See section 8.</w:t>
            </w:r>
          </w:p>
        </w:tc>
      </w:tr>
    </w:tbl>
    <w:p>
      <w:pPr>
        <w:pStyle w:val="Heading1"/>
        <w:spacing w:after="90" w:before="220"/>
      </w:pPr>
      <w:r>
        <w:t xml:space="preserve">10. Notes and limitations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7260"/>
      </w:tblGrid>
      <w:tr>
        <w:trPr>
          <w:tblHeader/>
        </w:trPr>
        <w:tc>
          <w:tcPr>
            <w:tcW w:type="dxa" w:w="2100"/>
            <w:shd w:fill="1F4E79" w:val="clear"/>
            <w:tcMar>
              <w:top w:type="dxa" w:w="60"/>
              <w:left w:type="dxa" w:w="100"/>
              <w:bottom w:type="dxa" w:w="60"/>
              <w:right w:type="dxa" w:w="100"/>
            </w:tcMar>
          </w:tcPr>
          <w:p>
            <w:r>
              <w:rPr>
                <w:b/>
                <w:bCs/>
                <w:color w:val="FFFFFF"/>
                <w:sz w:val="20"/>
                <w:szCs w:val="20"/>
              </w:rPr>
              <w:t xml:space="preserve">Topic</w:t>
            </w:r>
          </w:p>
        </w:tc>
        <w:tc>
          <w:tcPr>
            <w:tcW w:type="dxa" w:w="7260"/>
            <w:shd w:fill="1F4E79" w:val="clear"/>
            <w:tcMar>
              <w:top w:type="dxa" w:w="60"/>
              <w:left w:type="dxa" w:w="100"/>
              <w:bottom w:type="dxa" w:w="60"/>
              <w:right w:type="dxa" w:w="100"/>
            </w:tcMar>
          </w:tcPr>
          <w:p>
            <w:r>
              <w:rPr>
                <w:b/>
                <w:bCs/>
                <w:color w:val="FFFFFF"/>
                <w:sz w:val="20"/>
                <w:szCs w:val="20"/>
              </w:rPr>
              <w:t xml:space="preserve">Detail</w:t>
            </w:r>
          </w:p>
        </w:tc>
      </w:tr>
      <w:tr>
        <w:trPr>
          <w:tblHeader w:val="false"/>
        </w:trPr>
        <w:tc>
          <w:tcPr>
            <w:tcW w:type="dxa" w:w="2100"/>
            <w:shd w:fill="FFFFFF" w:val="clear"/>
            <w:tcMar>
              <w:top w:type="dxa" w:w="60"/>
              <w:left w:type="dxa" w:w="100"/>
              <w:bottom w:type="dxa" w:w="60"/>
              <w:right w:type="dxa" w:w="100"/>
            </w:tcMar>
          </w:tcPr>
          <w:p>
            <w:r>
              <w:rPr>
                <w:b w:val="false"/>
                <w:bCs w:val="false"/>
                <w:color w:val="000000"/>
                <w:sz w:val="20"/>
                <w:szCs w:val="20"/>
              </w:rPr>
              <w:t xml:space="preserve">Per-unit rasters</w:t>
            </w:r>
          </w:p>
        </w:tc>
        <w:tc>
          <w:tcPr>
            <w:tcW w:type="dxa" w:w="7260"/>
            <w:shd w:fill="FFFFFF" w:val="clear"/>
            <w:tcMar>
              <w:top w:type="dxa" w:w="60"/>
              <w:left w:type="dxa" w:w="100"/>
              <w:bottom w:type="dxa" w:w="60"/>
              <w:right w:type="dxa" w:w="100"/>
            </w:tcMar>
          </w:tcPr>
          <w:p>
            <w:r>
              <w:rPr>
                <w:b w:val="false"/>
                <w:bCs w:val="false"/>
                <w:color w:val="000000"/>
                <w:sz w:val="20"/>
                <w:szCs w:val="20"/>
              </w:rPr>
              <w:t xml:space="preserve">True one-row-per-unit rasters need the aggregate's spikeClusters array (added 2026-07-26). If a session was built before that, the view falls back to a depth-binned population raster. Rebuild the spike sessions to get per-unit rows.</w:t>
            </w:r>
          </w:p>
        </w:tc>
      </w:tr>
      <w:tr>
        <w:trPr>
          <w:tblHeader w:val="false"/>
        </w:trPr>
        <w:tc>
          <w:tcPr>
            <w:tcW w:type="dxa" w:w="2100"/>
            <w:shd w:fill="FFFFFF" w:val="clear"/>
            <w:tcMar>
              <w:top w:type="dxa" w:w="60"/>
              <w:left w:type="dxa" w:w="100"/>
              <w:bottom w:type="dxa" w:w="60"/>
              <w:right w:type="dxa" w:w="100"/>
            </w:tcMar>
          </w:tcPr>
          <w:p>
            <w:r>
              <w:rPr>
                <w:b w:val="false"/>
                <w:bCs w:val="false"/>
                <w:color w:val="000000"/>
                <w:sz w:val="20"/>
                <w:szCs w:val="20"/>
              </w:rPr>
              <w:t xml:space="preserve">Multi-shank unit shank</w:t>
            </w:r>
          </w:p>
        </w:tc>
        <w:tc>
          <w:tcPr>
            <w:tcW w:type="dxa" w:w="7260"/>
            <w:shd w:fill="FFFFFF" w:val="clear"/>
            <w:tcMar>
              <w:top w:type="dxa" w:w="60"/>
              <w:left w:type="dxa" w:w="100"/>
              <w:bottom w:type="dxa" w:w="60"/>
              <w:right w:type="dxa" w:w="100"/>
            </w:tcMar>
          </w:tcPr>
          <w:p>
            <w:r>
              <w:rPr>
                <w:b w:val="false"/>
                <w:bCs w:val="false"/>
                <w:color w:val="000000"/>
                <w:sz w:val="20"/>
                <w:szCs w:val="20"/>
              </w:rPr>
              <w:t xml:space="preserve">Exact once add_unit_positions.py has been run (section 8): units use their precise peak-channel x/y and land on the correct shank. Until then, units are placed by depth only and may show on the wrong shank on a multi-shank probe (the probe map flags this). Single-shank sessions are exact either way.</w:t>
            </w:r>
          </w:p>
        </w:tc>
      </w:tr>
      <w:tr>
        <w:trPr>
          <w:tblHeader w:val="false"/>
        </w:trPr>
        <w:tc>
          <w:tcPr>
            <w:tcW w:type="dxa" w:w="2100"/>
            <w:shd w:fill="FFFFFF" w:val="clear"/>
            <w:tcMar>
              <w:top w:type="dxa" w:w="60"/>
              <w:left w:type="dxa" w:w="100"/>
              <w:bottom w:type="dxa" w:w="60"/>
              <w:right w:type="dxa" w:w="100"/>
            </w:tcMar>
          </w:tcPr>
          <w:p>
            <w:r>
              <w:rPr>
                <w:b w:val="false"/>
                <w:bCs w:val="false"/>
                <w:color w:val="000000"/>
                <w:sz w:val="20"/>
                <w:szCs w:val="20"/>
              </w:rPr>
              <w:t xml:space="preserve">LFP-only sessions</w:t>
            </w:r>
          </w:p>
        </w:tc>
        <w:tc>
          <w:tcPr>
            <w:tcW w:type="dxa" w:w="7260"/>
            <w:shd w:fill="FFFFFF" w:val="clear"/>
            <w:tcMar>
              <w:top w:type="dxa" w:w="60"/>
              <w:left w:type="dxa" w:w="100"/>
              <w:bottom w:type="dxa" w:w="60"/>
              <w:right w:type="dxa" w:w="100"/>
            </w:tcMar>
          </w:tcPr>
          <w:p>
            <w:r>
              <w:rPr>
                <w:b w:val="false"/>
                <w:bCs w:val="false"/>
                <w:color w:val="000000"/>
                <w:sz w:val="20"/>
                <w:szCs w:val="20"/>
              </w:rPr>
              <w:t xml:space="preserve">Full electrode geometry comes from the spike data; a session with no spikes shows only the 32 LFP sites as its electrodes.</w:t>
            </w:r>
          </w:p>
        </w:tc>
      </w:tr>
      <w:tr>
        <w:trPr>
          <w:tblHeader w:val="false"/>
        </w:trPr>
        <w:tc>
          <w:tcPr>
            <w:tcW w:type="dxa" w:w="2100"/>
            <w:shd w:fill="FFFFFF" w:val="clear"/>
            <w:tcMar>
              <w:top w:type="dxa" w:w="60"/>
              <w:left w:type="dxa" w:w="100"/>
              <w:bottom w:type="dxa" w:w="60"/>
              <w:right w:type="dxa" w:w="100"/>
            </w:tcMar>
          </w:tcPr>
          <w:p>
            <w:r>
              <w:rPr>
                <w:b w:val="false"/>
                <w:bCs w:val="false"/>
                <w:color w:val="000000"/>
                <w:sz w:val="20"/>
                <w:szCs w:val="20"/>
              </w:rPr>
              <w:t xml:space="preserve">Gamma ceiling</w:t>
            </w:r>
          </w:p>
        </w:tc>
        <w:tc>
          <w:tcPr>
            <w:tcW w:type="dxa" w:w="7260"/>
            <w:shd w:fill="FFFFFF" w:val="clear"/>
            <w:tcMar>
              <w:top w:type="dxa" w:w="60"/>
              <w:left w:type="dxa" w:w="100"/>
              <w:bottom w:type="dxa" w:w="60"/>
              <w:right w:type="dxa" w:w="100"/>
            </w:tcMar>
          </w:tcPr>
          <w:p>
            <w:r>
              <w:rPr>
                <w:b w:val="false"/>
                <w:bCs w:val="false"/>
                <w:color w:val="000000"/>
                <w:sz w:val="20"/>
                <w:szCs w:val="20"/>
              </w:rPr>
              <w:t xml:space="preserve">Aggregate LFP is anti-aliased near ~100 Hz, so a custom band above ~90 Hz may look attenuated.</w:t>
            </w:r>
          </w:p>
        </w:tc>
      </w:tr>
      <w:tr>
        <w:trPr>
          <w:tblHeader w:val="false"/>
        </w:trPr>
        <w:tc>
          <w:tcPr>
            <w:tcW w:type="dxa" w:w="2100"/>
            <w:shd w:fill="FFFFFF" w:val="clear"/>
            <w:tcMar>
              <w:top w:type="dxa" w:w="60"/>
              <w:left w:type="dxa" w:w="100"/>
              <w:bottom w:type="dxa" w:w="60"/>
              <w:right w:type="dxa" w:w="100"/>
            </w:tcMar>
          </w:tcPr>
          <w:p>
            <w:r>
              <w:rPr>
                <w:b w:val="false"/>
                <w:bCs w:val="false"/>
                <w:color w:val="000000"/>
                <w:sz w:val="20"/>
                <w:szCs w:val="20"/>
              </w:rPr>
              <w:t xml:space="preserve">Time alignment</w:t>
            </w:r>
          </w:p>
        </w:tc>
        <w:tc>
          <w:tcPr>
            <w:tcW w:type="dxa" w:w="7260"/>
            <w:shd w:fill="FFFFFF" w:val="clear"/>
            <w:tcMar>
              <w:top w:type="dxa" w:w="60"/>
              <w:left w:type="dxa" w:w="100"/>
              <w:bottom w:type="dxa" w:w="60"/>
              <w:right w:type="dxa" w:w="100"/>
            </w:tcMar>
          </w:tcPr>
          <w:p>
            <w:r>
              <w:rPr>
                <w:b w:val="false"/>
                <w:bCs w:val="false"/>
                <w:color w:val="000000"/>
                <w:sz w:val="20"/>
                <w:szCs w:val="20"/>
              </w:rPr>
              <w:t xml:space="preserve">LabView sensors and the neural stream are treated as sharing t = 0 (recording start). Trial start times come from the LabView trial markers.</w:t>
            </w:r>
          </w:p>
        </w:tc>
      </w:tr>
    </w:tbl>
    <w:p>
      <w:pPr>
        <w:spacing w:before="200"/>
      </w:pPr>
      <w:r>
        <w:rPr>
          <w:i/>
          <w:iCs/>
          <w:color w:val="595959"/>
          <w:sz w:val="20"/>
          <w:szCs w:val="20"/>
        </w:rPr>
        <w:t xml:space="preserve">Tip: 5–15 s windows read best; very long windows make dense figures.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2026-07-27T03:37:40.874Z</dcterms:created>
  <dcterms:modified xsi:type="dcterms:W3CDTF">2026-07-27T03:37:40.888Z</dcterms:modified>
</cp:coreProperties>
</file>

<file path=docProps/custom.xml><?xml version="1.0" encoding="utf-8"?>
<Properties xmlns="http://schemas.openxmlformats.org/officeDocument/2006/custom-properties" xmlns:vt="http://schemas.openxmlformats.org/officeDocument/2006/docPropsVTypes"/>
</file>