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NP-DEMO-2: Ethanol and Sniff-Phase Locking of OB Units</w:t>
      </w:r>
    </w:p>
    <w:p>
      <w:pPr>
        <w:pStyle w:val="Subtitle"/>
      </w:pPr>
      <w:r>
        <w:t>Methods / QC Report</w:t>
      </w:r>
    </w:p>
    <w:p>
      <w:pPr>
        <w:pStyle w:val="Heading1"/>
      </w:pPr>
      <w:r>
        <w:t>Question</w:t>
      </w:r>
    </w:p>
    <w:p>
      <w:r>
        <w:t>This experiment tested whether ethanol exposure alters the phase-locking of olfactory-bulb (OB) single-unit spikes to the sniff cycle, as measured by the SNF (sniff sensor thermistor/pressure) signal, compared to control epochs within the same recording sessions.</w:t>
      </w:r>
    </w:p>
    <w:p>
      <w:pPr>
        <w:pStyle w:val="Heading1"/>
      </w:pPr>
      <w:r>
        <w:t>Methods</w:t>
      </w:r>
    </w:p>
    <w:p>
      <w:r>
        <w:t>Data: six recording sessions from C:\Projects\Repos\Neuropixels\DATA, sessions dated 2021-11-01, 2021-11-03, 2021-12-15, 2022-05-17, 2022-06-24, 2022-09-14.</w:t>
      </w:r>
    </w:p>
    <w:p>
      <w:r>
        <w:t>Sniff detection: the SNF signal was low-pass filtered (FIR, 40 Hz) and z-scored. Sniff onsets were detected by downward threshold crossings at threshold_std = -0.5 SD (pinned). Valid sniff epochs were defined as SNF phase &gt;= 0.0 (computed via compute_sniff_phase); sections with SNF_PH == -1 were excluded as noise / non-sniffing.</w:t>
      </w:r>
    </w:p>
    <w:p>
      <w:r>
        <w:t>Ethanol threshold (PROH-002), Pass 1: all sessions were run at the default eth_threshold = 0.11. Cross-session mean ethanol-contact count = 371.3, SD = 672.1. Session 2021-11-01 was flagged as an outlier (above mean+1SD) and underwent Pass-2 threshold adjustment.</w:t>
      </w:r>
    </w:p>
    <w:p>
      <w:r>
        <w:t>Pass 2: for 2021-11-01, a deterministic grid search (eth_threshold 0.05 to 0.50, step 0.005) selected eth_threshold = 0.055 to bring its contact count (397 contacts) closer to the cross-session mean.</w:t>
      </w:r>
    </w:p>
    <w:p>
      <w:r>
        <w:t>Note: session 2021-11-03 had only 3 ethanol contact(s) at the default threshold and was not flagged by the +/-1 SD criterion (DEV-001; see Limitations).</w:t>
      </w:r>
    </w:p>
    <w:p>
      <w:r>
        <w:t>Spike phase assignment: each spike's SNF phase was computed via compute_spike_phase. Condition assignment: a spike was classified as 'ethanol' iff ETH_thr[index] &gt; eth_threshold at its time, else 'control'.</w:t>
      </w:r>
    </w:p>
    <w:p>
      <w:r>
        <w:t>Unit inclusion: units with overall firing rate &lt; 0.1 Hz or with fewer than 50 valid-sniff spikes combined (ethanol + control) were excluded.</w:t>
      </w:r>
    </w:p>
    <w:p>
      <w:r>
        <w:t>Phase-locking: the circular mean resultant length (MRL) and preferred phase were computed separately for the ethanol and control conditions, per unit.</w:t>
      </w:r>
    </w:p>
    <w:p>
      <w:pPr>
        <w:pStyle w:val="Heading1"/>
      </w:pPr>
      <w:r>
        <w:t>Ethanol-Threshold-Adjustment-Log</w:t>
      </w:r>
    </w:p>
    <w:p>
      <w:r>
        <w:t>Per-session PROH-002 default vs. final ethanol-contact threshold, whether Pass-2 adjustment was applied, and the resulting contact count (source: RESULT-eth-threshold-log).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 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Final 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Adjusted?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contacts (final)</w:t>
            </w:r>
          </w:p>
        </w:tc>
      </w:tr>
      <w:tr>
        <w:tc>
          <w:tcPr>
            <w:tcW w:type="dxa" w:w="1728"/>
          </w:tcPr>
          <w:p>
            <w:r>
              <w:t>2021-11-01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0.055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397</w:t>
            </w:r>
          </w:p>
        </w:tc>
      </w:tr>
      <w:tr>
        <w:tc>
          <w:tcPr>
            <w:tcW w:type="dxa" w:w="1728"/>
          </w:tcPr>
          <w:p>
            <w:r>
              <w:t>2021-11-03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2021-12-15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459</w:t>
            </w:r>
          </w:p>
        </w:tc>
      </w:tr>
      <w:tr>
        <w:tc>
          <w:tcPr>
            <w:tcW w:type="dxa" w:w="1728"/>
          </w:tcPr>
          <w:p>
            <w:r>
              <w:t>2022-05-17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2022-06-24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2022-09-14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43</w:t>
            </w:r>
          </w:p>
        </w:tc>
      </w:tr>
    </w:tbl>
    <w:p>
      <w:pPr>
        <w:pStyle w:val="Heading1"/>
      </w:pPr>
      <w:r>
        <w:t>QC-Counts</w:t>
      </w:r>
    </w:p>
    <w:p>
      <w:r>
        <w:t>Per-session sniff, unit, and ethanol-contact counts (source: RESULT-qc-counts).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sniffs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neurons (included)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trials (eth. contacts)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Length (min)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usable sniffs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eth_threshold used</w:t>
            </w:r>
          </w:p>
        </w:tc>
      </w:tr>
      <w:tr>
        <w:tc>
          <w:tcPr>
            <w:tcW w:type="dxa" w:w="1234"/>
          </w:tcPr>
          <w:p>
            <w:r>
              <w:t>2021-11-01</w:t>
            </w:r>
          </w:p>
        </w:tc>
        <w:tc>
          <w:tcPr>
            <w:tcW w:type="dxa" w:w="1234"/>
          </w:tcPr>
          <w:p>
            <w:r>
              <w:t>10949</w:t>
            </w:r>
          </w:p>
        </w:tc>
        <w:tc>
          <w:tcPr>
            <w:tcW w:type="dxa" w:w="1234"/>
          </w:tcPr>
          <w:p>
            <w:r>
              <w:t>232</w:t>
            </w:r>
          </w:p>
        </w:tc>
        <w:tc>
          <w:tcPr>
            <w:tcW w:type="dxa" w:w="1234"/>
          </w:tcPr>
          <w:p>
            <w:r>
              <w:t>397</w:t>
            </w:r>
          </w:p>
        </w:tc>
        <w:tc>
          <w:tcPr>
            <w:tcW w:type="dxa" w:w="1234"/>
          </w:tcPr>
          <w:p>
            <w:r>
              <w:t>48.8</w:t>
            </w:r>
          </w:p>
        </w:tc>
        <w:tc>
          <w:tcPr>
            <w:tcW w:type="dxa" w:w="1234"/>
          </w:tcPr>
          <w:p>
            <w:r>
              <w:t>96.0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</w:tr>
      <w:tr>
        <w:tc>
          <w:tcPr>
            <w:tcW w:type="dxa" w:w="1234"/>
          </w:tcPr>
          <w:p>
            <w:r>
              <w:t>2021-11-03</w:t>
            </w:r>
          </w:p>
        </w:tc>
        <w:tc>
          <w:tcPr>
            <w:tcW w:type="dxa" w:w="1234"/>
          </w:tcPr>
          <w:p>
            <w:r>
              <w:t>9087</w:t>
            </w:r>
          </w:p>
        </w:tc>
        <w:tc>
          <w:tcPr>
            <w:tcW w:type="dxa" w:w="1234"/>
          </w:tcPr>
          <w:p>
            <w:r>
              <w:t>429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49.8</w:t>
            </w:r>
          </w:p>
        </w:tc>
        <w:tc>
          <w:tcPr>
            <w:tcW w:type="dxa" w:w="1234"/>
          </w:tcPr>
          <w:p>
            <w:r>
              <w:t>84.3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</w:tr>
      <w:tr>
        <w:tc>
          <w:tcPr>
            <w:tcW w:type="dxa" w:w="1234"/>
          </w:tcPr>
          <w:p>
            <w:r>
              <w:t>2021-12-15</w:t>
            </w:r>
          </w:p>
        </w:tc>
        <w:tc>
          <w:tcPr>
            <w:tcW w:type="dxa" w:w="1234"/>
          </w:tcPr>
          <w:p>
            <w:r>
              <w:t>7005</w:t>
            </w:r>
          </w:p>
        </w:tc>
        <w:tc>
          <w:tcPr>
            <w:tcW w:type="dxa" w:w="1234"/>
          </w:tcPr>
          <w:p>
            <w:r>
              <w:t>236</w:t>
            </w:r>
          </w:p>
        </w:tc>
        <w:tc>
          <w:tcPr>
            <w:tcW w:type="dxa" w:w="1234"/>
          </w:tcPr>
          <w:p>
            <w:r>
              <w:t>459</w:t>
            </w:r>
          </w:p>
        </w:tc>
        <w:tc>
          <w:tcPr>
            <w:tcW w:type="dxa" w:w="1234"/>
          </w:tcPr>
          <w:p>
            <w:r>
              <w:t>48.6</w:t>
            </w:r>
          </w:p>
        </w:tc>
        <w:tc>
          <w:tcPr>
            <w:tcW w:type="dxa" w:w="1234"/>
          </w:tcPr>
          <w:p>
            <w:r>
              <w:t>62.1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</w:tr>
      <w:tr>
        <w:tc>
          <w:tcPr>
            <w:tcW w:type="dxa" w:w="1234"/>
          </w:tcPr>
          <w:p>
            <w:r>
              <w:t>2022-05-17</w:t>
            </w:r>
          </w:p>
        </w:tc>
        <w:tc>
          <w:tcPr>
            <w:tcW w:type="dxa" w:w="1234"/>
          </w:tcPr>
          <w:p>
            <w:r>
              <w:t>9422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49.0</w:t>
            </w:r>
          </w:p>
        </w:tc>
        <w:tc>
          <w:tcPr>
            <w:tcW w:type="dxa" w:w="1234"/>
          </w:tcPr>
          <w:p>
            <w:r>
              <w:t>93.6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</w:tr>
      <w:tr>
        <w:tc>
          <w:tcPr>
            <w:tcW w:type="dxa" w:w="1234"/>
          </w:tcPr>
          <w:p>
            <w:r>
              <w:t>2022-06-24</w:t>
            </w:r>
          </w:p>
        </w:tc>
        <w:tc>
          <w:tcPr>
            <w:tcW w:type="dxa" w:w="1234"/>
          </w:tcPr>
          <w:p>
            <w:r>
              <w:t>9169</w:t>
            </w:r>
          </w:p>
        </w:tc>
        <w:tc>
          <w:tcPr>
            <w:tcW w:type="dxa" w:w="1234"/>
          </w:tcPr>
          <w:p>
            <w:r>
              <w:t>287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48.4</w:t>
            </w:r>
          </w:p>
        </w:tc>
        <w:tc>
          <w:tcPr>
            <w:tcW w:type="dxa" w:w="1234"/>
          </w:tcPr>
          <w:p>
            <w:r>
              <w:t>96.0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</w:tr>
      <w:tr>
        <w:tc>
          <w:tcPr>
            <w:tcW w:type="dxa" w:w="1234"/>
          </w:tcPr>
          <w:p>
            <w:r>
              <w:t>2022-09-14</w:t>
            </w:r>
          </w:p>
        </w:tc>
        <w:tc>
          <w:tcPr>
            <w:tcW w:type="dxa" w:w="1234"/>
          </w:tcPr>
          <w:p>
            <w:r>
              <w:t>3852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99.0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</w:tr>
    </w:tbl>
    <w:p>
      <w:r>
        <w:t>Total included units across all six sessions (sum of n_neurons, RESULT-qc-counts): 1603.</w:t>
      </w:r>
    </w:p>
    <w:p>
      <w:pPr>
        <w:pStyle w:val="Heading1"/>
      </w:pPr>
      <w:r>
        <w:t>Discarded-Sections</w:t>
      </w:r>
    </w:p>
    <w:p>
      <w:r>
        <w:t>Discarded SNF sections were logged per RESULT-qc-discards (experiment, start_s, end_s, reason). Across all six sessions, 1742 sections were discarded, all for reason: outside_valid_sniff. Per-session counts (source: RESULT-qc-discards):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 discarded sections</w:t>
            </w:r>
          </w:p>
        </w:tc>
      </w:tr>
      <w:tr>
        <w:tc>
          <w:tcPr>
            <w:tcW w:type="dxa" w:w="4320"/>
          </w:tcPr>
          <w:p>
            <w:r>
              <w:t>2021-11-01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2021-11-03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2021-12-15</w:t>
            </w:r>
          </w:p>
        </w:tc>
        <w:tc>
          <w:tcPr>
            <w:tcW w:type="dxa" w:w="4320"/>
          </w:tcPr>
          <w:p>
            <w:r>
              <w:t>470</w:t>
            </w:r>
          </w:p>
        </w:tc>
      </w:tr>
      <w:tr>
        <w:tc>
          <w:tcPr>
            <w:tcW w:type="dxa" w:w="4320"/>
          </w:tcPr>
          <w:p>
            <w:r>
              <w:t>2022-05-17</w:t>
            </w:r>
          </w:p>
        </w:tc>
        <w:tc>
          <w:tcPr>
            <w:tcW w:type="dxa" w:w="4320"/>
          </w:tcPr>
          <w:p>
            <w:r>
              <w:t>940</w:t>
            </w:r>
          </w:p>
        </w:tc>
      </w:tr>
      <w:tr>
        <w:tc>
          <w:tcPr>
            <w:tcW w:type="dxa" w:w="4320"/>
          </w:tcPr>
          <w:p>
            <w:r>
              <w:t>2022-06-24</w:t>
            </w:r>
          </w:p>
        </w:tc>
        <w:tc>
          <w:tcPr>
            <w:tcW w:type="dxa" w:w="4320"/>
          </w:tcPr>
          <w:p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2022-09-14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</w:tbl>
    <w:p>
      <w:r>
        <w:t>Total discarded sections across all sessions (RESULT-qc-discards): 1742. The full itemized log (experiment, start_s, end_s, reason) is retained in RESULT-qc-discards.yaml for traceability and is not reproduced in full here given its length.</w:t>
      </w:r>
    </w:p>
    <w:p>
      <w:pPr>
        <w:pStyle w:val="Heading1"/>
      </w:pPr>
      <w:r>
        <w:t>Figures</w:t>
      </w:r>
    </w:p>
    <w:p>
      <w:r>
        <w:t>FIG-DEMO2-QC: per-experiment SNF and ethanol (ETH) traces with the sniff-onset threshold and the ethanol-contact threshold (post-PROH-002 if adjusted) marked, with discarded sections shaded (source: RESULT-qc-counts, RESULT-eth-threshold-log, RESULT-qc-discards).</w:t>
      </w:r>
    </w:p>
    <w:p>
      <w:r>
        <w:t>FIG-DEMO2-QC-PSTH: sniff-locked PSTHs for the single strongest- and single weakest-overall phase-locking units across all experiments (source: RESULT-psth-extremes, RESULT-mrl-unit).</w:t>
      </w:r>
    </w:p>
    <w:p>
      <w:pPr>
        <w:pStyle w:val="Heading1"/>
      </w:pPr>
      <w:r>
        <w:t>Limitations</w:t>
      </w:r>
    </w:p>
    <w:p>
      <w:r>
        <w:t>DEV-001: session 2021-11-03 escaped the PROH-002 +/-1 SD flag because session 2021-11-01's large contact count inflated the cross-session SD. Session 2021-11-03 had only 3 ethanol contact(s) over 49.8 minutes (84.3% usable sniffs), resulting in a near-zero control-condition spike count per unit. This degenerate data affects the examples figure selection (FIG-DEMO2-RES-EX) and may influence the animal-level statistical result (see Results report). A formal deviation has been filed (DEV-001 in 08_traceability/deviations.yaml). Human sign-off is required before these results are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