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NP-DEMO-2: Ethanol and Sniff-Phase Locking of OB Units</w:t>
      </w:r>
    </w:p>
    <w:p>
      <w:pPr>
        <w:pStyle w:val="Subtitle"/>
      </w:pPr>
      <w:r>
        <w:t>Results Report</w:t>
      </w:r>
    </w:p>
    <w:p>
      <w:pPr>
        <w:pStyle w:val="Heading1"/>
      </w:pPr>
      <w:r>
        <w:t>Question</w:t>
      </w:r>
    </w:p>
    <w:p>
      <w:r>
        <w:t>This experiment tested whether ethanol exposure alters the phase-locking of olfactory-bulb (OB) single-unit spikes to the sniff cycle, as measured by the SNF (sniff sensor thermistor/pressure) signal, compared to control epochs within the same recording sessions.</w:t>
      </w:r>
    </w:p>
    <w:p>
      <w:pPr>
        <w:pStyle w:val="Heading1"/>
      </w:pPr>
      <w:r>
        <w:t>Methods-Summary</w:t>
      </w:r>
    </w:p>
    <w:p>
      <w:r>
        <w:t>Full methods, QC counts, ethanol-threshold-adjustment log, and discard log are reported separately in the companion Methods/QC document (NP-DEMO-2_ethanol_sniff_phase_locking_METHODS.docx). Briefly: sniff phase was computed from the SNF signal (compute_sniff_phase, threshold_std = -0.5, pinned); spikes were classified as ethanol or control by the (possibly PROH-002-adjusted) ethanol threshold; units with firing rate &lt; 0.1 Hz or &lt; 50 valid-sniff spikes combined were excluded. n_sessions = 6; n_units_total (included per QC criteria, sum of n_neurons across sessions, RESULT-qc-counts) = 1603.</w:t>
      </w:r>
    </w:p>
    <w:p>
      <w:pPr>
        <w:pStyle w:val="Heading1"/>
      </w:pPr>
      <w:r>
        <w:t>Results-Animal-Level</w:t>
      </w:r>
    </w:p>
    <w:p>
      <w:r>
        <w:t>Across 6 animals/sessions, ethanol exposure was associated with a control&gt;ethanol difference in mean sniff-phase MRL (Wilcoxon signed-rank, exact two-sided; W = 0, p = 0.03125, rank-biserial r = -1.000).</w:t>
      </w:r>
    </w:p>
    <w:p>
      <w:r>
        <w:t>Per-animal mean MRLs (source: RESULT-mrl-animal):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MRL (ethanol)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MRL (control)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 units included</w:t>
            </w:r>
          </w:p>
        </w:tc>
      </w:tr>
      <w:tr>
        <w:tc>
          <w:tcPr>
            <w:tcW w:type="dxa" w:w="2160"/>
          </w:tcPr>
          <w:p>
            <w:r>
              <w:t>2021-11-01</w:t>
            </w:r>
          </w:p>
        </w:tc>
        <w:tc>
          <w:tcPr>
            <w:tcW w:type="dxa" w:w="2160"/>
          </w:tcPr>
          <w:p>
            <w:r>
              <w:t>0.0120</w:t>
            </w:r>
          </w:p>
        </w:tc>
        <w:tc>
          <w:tcPr>
            <w:tcW w:type="dxa" w:w="2160"/>
          </w:tcPr>
          <w:p>
            <w:r>
              <w:t>0.2115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  <w:tr>
        <w:tc>
          <w:tcPr>
            <w:tcW w:type="dxa" w:w="2160"/>
          </w:tcPr>
          <w:p>
            <w:r>
              <w:t>2021-11-03</w:t>
            </w:r>
          </w:p>
        </w:tc>
        <w:tc>
          <w:tcPr>
            <w:tcW w:type="dxa" w:w="2160"/>
          </w:tcPr>
          <w:p>
            <w:r>
              <w:t>0.0164</w:t>
            </w:r>
          </w:p>
        </w:tc>
        <w:tc>
          <w:tcPr>
            <w:tcW w:type="dxa" w:w="2160"/>
          </w:tcPr>
          <w:p>
            <w:r>
              <w:t>0.9138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2021-12-15</w:t>
            </w:r>
          </w:p>
        </w:tc>
        <w:tc>
          <w:tcPr>
            <w:tcW w:type="dxa" w:w="2160"/>
          </w:tcPr>
          <w:p>
            <w:r>
              <w:t>0.0161</w:t>
            </w:r>
          </w:p>
        </w:tc>
        <w:tc>
          <w:tcPr>
            <w:tcW w:type="dxa" w:w="2160"/>
          </w:tcPr>
          <w:p>
            <w:r>
              <w:t>0.1175</w:t>
            </w:r>
          </w:p>
        </w:tc>
        <w:tc>
          <w:tcPr>
            <w:tcW w:type="dxa" w:w="2160"/>
          </w:tcPr>
          <w:p>
            <w:r>
              <w:t>236</w:t>
            </w:r>
          </w:p>
        </w:tc>
      </w:tr>
      <w:tr>
        <w:tc>
          <w:tcPr>
            <w:tcW w:type="dxa" w:w="2160"/>
          </w:tcPr>
          <w:p>
            <w:r>
              <w:t>2022-05-17</w:t>
            </w:r>
          </w:p>
        </w:tc>
        <w:tc>
          <w:tcPr>
            <w:tcW w:type="dxa" w:w="2160"/>
          </w:tcPr>
          <w:p>
            <w:r>
              <w:t>0.0718</w:t>
            </w:r>
          </w:p>
        </w:tc>
        <w:tc>
          <w:tcPr>
            <w:tcW w:type="dxa" w:w="2160"/>
          </w:tcPr>
          <w:p>
            <w:r>
              <w:t>0.1423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2022-06-24</w:t>
            </w:r>
          </w:p>
        </w:tc>
        <w:tc>
          <w:tcPr>
            <w:tcW w:type="dxa" w:w="2160"/>
          </w:tcPr>
          <w:p>
            <w:r>
              <w:t>0.0431</w:t>
            </w:r>
          </w:p>
        </w:tc>
        <w:tc>
          <w:tcPr>
            <w:tcW w:type="dxa" w:w="2160"/>
          </w:tcPr>
          <w:p>
            <w:r>
              <w:t>0.3906</w:t>
            </w:r>
          </w:p>
        </w:tc>
        <w:tc>
          <w:tcPr>
            <w:tcW w:type="dxa" w:w="2160"/>
          </w:tcPr>
          <w:p>
            <w:r>
              <w:t>287</w:t>
            </w:r>
          </w:p>
        </w:tc>
      </w:tr>
      <w:tr>
        <w:tc>
          <w:tcPr>
            <w:tcW w:type="dxa" w:w="2160"/>
          </w:tcPr>
          <w:p>
            <w:r>
              <w:t>2022-09-14</w:t>
            </w:r>
          </w:p>
        </w:tc>
        <w:tc>
          <w:tcPr>
            <w:tcW w:type="dxa" w:w="2160"/>
          </w:tcPr>
          <w:p>
            <w:r>
              <w:t>0.0252</w:t>
            </w:r>
          </w:p>
        </w:tc>
        <w:tc>
          <w:tcPr>
            <w:tcW w:type="dxa" w:w="2160"/>
          </w:tcPr>
          <w:p>
            <w:r>
              <w:t>0.2530</w:t>
            </w:r>
          </w:p>
        </w:tc>
        <w:tc>
          <w:tcPr>
            <w:tcW w:type="dxa" w:w="2160"/>
          </w:tcPr>
          <w:p>
            <w:r>
              <w:t>310</w:t>
            </w:r>
          </w:p>
        </w:tc>
      </w:tr>
    </w:tbl>
    <w:p>
      <w:r>
        <w:t>Note: session 2021-11-03 shows mean_mrl_control = 0.914, which is anomalously high due to DEV-001 (degenerate control-condition estimates from a near-zero ethanol-contact count at Pass 1; see Methods report). This session's contribution to the Wilcoxon statistic should be interpreted with caution.</w:t>
      </w:r>
    </w:p>
    <w:p>
      <w:pPr>
        <w:pStyle w:val="Heading1"/>
      </w:pPr>
      <w:r>
        <w:t>Results-Unit-Level</w:t>
      </w:r>
    </w:p>
    <w:p>
      <w:r>
        <w:t>At the unit level, a linear mixed-effects model (condition as fixed effect, session as random intercept; n = 1138 units across 6 sessions) found a significant control&gt;ethanol effect of ethanol on MRL (coefficient = -0.2367, standardized effect = -1.0263, p = 7.511e-220).</w:t>
      </w:r>
    </w:p>
    <w:p>
      <w:r>
        <w:t>Full per-unit MRL and preferred-phase values by condition (n = 1603 units passing QC criteria; source: RESULT-mrl-unit [1603 rows] and RESULT-phase-unit) underlie the unit-level figure (FIG-DEMO2-RES-UNIT); given their size, they are provided as source data files in 04_results/ rather than reproduced as an in-text table. Of these 1603 units, 1138 (source: RESULT-stat-unit.n_units) had spikes in both the ethanol and control conditions and entered the mixed-effects model; the remaining 465 units had zero control-condition spikes (primarily from session 2021-11-03 due to DEV-001) and were excluded from the model.</w:t>
      </w:r>
    </w:p>
    <w:p>
      <w:pPr>
        <w:pStyle w:val="Heading1"/>
      </w:pPr>
      <w:r>
        <w:t>Examples</w:t>
      </w:r>
    </w:p>
    <w:p>
      <w:r>
        <w:t>The five units with the largest absolute change in MRL between conditions (|delta MRL|) are listed below (source: RESULT-delta-mrl, RESULT-unit-locations). NOTE: all five are from session 2021-11-03, which has degenerate control-condition estimates (DEV-001). These examples should not be interpreted as representative until DEV-001 is resolved.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Unit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delta MRL (eth - ctrl)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|delta MRL|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Depth (um)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Shank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2021-11-03</w:t>
            </w:r>
          </w:p>
        </w:tc>
        <w:tc>
          <w:tcPr>
            <w:tcW w:type="dxa" w:w="1440"/>
          </w:tcPr>
          <w:p>
            <w:r>
              <w:t>-0.9995</w:t>
            </w:r>
          </w:p>
        </w:tc>
        <w:tc>
          <w:tcPr>
            <w:tcW w:type="dxa" w:w="1440"/>
          </w:tcPr>
          <w:p>
            <w:r>
              <w:t>0.9995</w:t>
            </w:r>
          </w:p>
        </w:tc>
        <w:tc>
          <w:tcPr>
            <w:tcW w:type="dxa" w:w="1440"/>
          </w:tcPr>
          <w:p>
            <w:r>
              <w:t>251.8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312</w:t>
            </w:r>
          </w:p>
        </w:tc>
        <w:tc>
          <w:tcPr>
            <w:tcW w:type="dxa" w:w="1440"/>
          </w:tcPr>
          <w:p>
            <w:r>
              <w:t>2021-11-03</w:t>
            </w:r>
          </w:p>
        </w:tc>
        <w:tc>
          <w:tcPr>
            <w:tcW w:type="dxa" w:w="1440"/>
          </w:tcPr>
          <w:p>
            <w:r>
              <w:t>-0.9991</w:t>
            </w:r>
          </w:p>
        </w:tc>
        <w:tc>
          <w:tcPr>
            <w:tcW w:type="dxa" w:w="1440"/>
          </w:tcPr>
          <w:p>
            <w:r>
              <w:t>0.9991</w:t>
            </w:r>
          </w:p>
        </w:tc>
        <w:tc>
          <w:tcPr>
            <w:tcW w:type="dxa" w:w="1440"/>
          </w:tcPr>
          <w:p>
            <w:r>
              <w:t>320.1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253</w:t>
            </w:r>
          </w:p>
        </w:tc>
        <w:tc>
          <w:tcPr>
            <w:tcW w:type="dxa" w:w="1440"/>
          </w:tcPr>
          <w:p>
            <w:r>
              <w:t>2021-11-03</w:t>
            </w:r>
          </w:p>
        </w:tc>
        <w:tc>
          <w:tcPr>
            <w:tcW w:type="dxa" w:w="1440"/>
          </w:tcPr>
          <w:p>
            <w:r>
              <w:t>-0.9979</w:t>
            </w:r>
          </w:p>
        </w:tc>
        <w:tc>
          <w:tcPr>
            <w:tcW w:type="dxa" w:w="1440"/>
          </w:tcPr>
          <w:p>
            <w:r>
              <w:t>0.9979</w:t>
            </w:r>
          </w:p>
        </w:tc>
        <w:tc>
          <w:tcPr>
            <w:tcW w:type="dxa" w:w="1440"/>
          </w:tcPr>
          <w:p>
            <w:r>
              <w:t>155.8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626</w:t>
            </w:r>
          </w:p>
        </w:tc>
        <w:tc>
          <w:tcPr>
            <w:tcW w:type="dxa" w:w="1440"/>
          </w:tcPr>
          <w:p>
            <w:r>
              <w:t>2021-11-03</w:t>
            </w:r>
          </w:p>
        </w:tc>
        <w:tc>
          <w:tcPr>
            <w:tcW w:type="dxa" w:w="1440"/>
          </w:tcPr>
          <w:p>
            <w:r>
              <w:t>-0.9971</w:t>
            </w:r>
          </w:p>
        </w:tc>
        <w:tc>
          <w:tcPr>
            <w:tcW w:type="dxa" w:w="1440"/>
          </w:tcPr>
          <w:p>
            <w:r>
              <w:t>0.9971</w:t>
            </w:r>
          </w:p>
        </w:tc>
        <w:tc>
          <w:tcPr>
            <w:tcW w:type="dxa" w:w="1440"/>
          </w:tcPr>
          <w:p>
            <w:r>
              <w:t>536.4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2021-11-03</w:t>
            </w:r>
          </w:p>
        </w:tc>
        <w:tc>
          <w:tcPr>
            <w:tcW w:type="dxa" w:w="1440"/>
          </w:tcPr>
          <w:p>
            <w:r>
              <w:t>-0.9962</w:t>
            </w:r>
          </w:p>
        </w:tc>
        <w:tc>
          <w:tcPr>
            <w:tcW w:type="dxa" w:w="1440"/>
          </w:tcPr>
          <w:p>
            <w:r>
              <w:t>0.9962</w:t>
            </w:r>
          </w:p>
        </w:tc>
        <w:tc>
          <w:tcPr>
            <w:tcW w:type="dxa" w:w="1440"/>
          </w:tcPr>
          <w:p>
            <w:r>
              <w:t>151.2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Figures</w:t>
      </w:r>
    </w:p>
    <w:p>
      <w:r>
        <w:t>FIG-DEMO2-RES-EXP: population-level ethanol vs. control phase-locking at the animal (experiment) level, with the paired animal-level test result displayed (source: RESULT-mrl-animal, RESULT-stat-animal).</w:t>
      </w:r>
    </w:p>
    <w:p>
      <w:r>
        <w:t>FIG-DEMO2-RES-UNIT: distribution of per-unit MRL across ethanol vs. control, with the unit-level mixed-effects test result displayed (source: RESULT-mrl-unit, RESULT-phase-unit, RESULT-stat-unit).</w:t>
      </w:r>
    </w:p>
    <w:p>
      <w:r>
        <w:t>FIG-DEMO2-RES-EX: sniff-locked PSTHs and probe-location maps for the five example units with the largest |delta MRL| (source: RESULT-delta-mrl, RESULT-psth-examples, RESULT-unit-locations).</w:t>
      </w:r>
    </w:p>
    <w:p>
      <w:pPr>
        <w:pStyle w:val="Heading1"/>
      </w:pPr>
      <w:r>
        <w:t>Limitations</w:t>
      </w:r>
    </w:p>
    <w:p>
      <w:r>
        <w:t>DEV-001 (critical): session 2021-11-03 was not flagged by the PROH-002 +/-1 SD rule on Pass 1 (a large contact count in session 2021-11-01 inflated the cross-session SD), so it entered the analysis with only 3 ethanol contact(s) and near-zero control-condition spikes per unit. This degenerate control-condition data dominates the Examples selection above and may inflate the animal-level effect. See the Methods report and 08_traceability/deviations.yaml for full detail. Human sign-off is required before these results are used.</w:t>
      </w:r>
    </w:p>
    <w:p>
      <w:r>
        <w:t>The animal-level Wilcoxon result (p = 0.03125) is the minimum possible exact p for n=6 (all concordant pairs), and is sensitive to the inclusion of 2021-11-03. Without that session (n=5, all concordant), p would be 0.0625 (not significant at alpha=0.05). The significance claim is therefore conditional on resolution of DEV-001.</w:t>
      </w:r>
    </w:p>
    <w:p>
      <w:r>
        <w:t>The unit-level p-value (p = 7.511e-220) is likely robust given its extreme magnitude, but the coefficient magnitude may be inflated by degenerate MRL_control values from 2021-11-03.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