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NP-DEMO-3: Ethanol and Sniff Phase-Locking — Results Report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Contract:  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02_contract/contract_v001.yaml  (status: confirmatory)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Intended audience:  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lab + demo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Companion document:  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see the separate Methods/QC report (NP-DEMO-3_ethanol_sniff_phase_locking_METHODS.docx) for signal-processing methods, per-experiment QC counts, and the full discarded-section log. Counts and discards are not duplicated here.</w:t>
      </w:r>
    </w:p>
    <w:p>
      <w:pPr>
        <w:spacing w:after="80"/>
      </w:pPr>
    </w:p>
    <w:p>
      <w:pPr>
        <w:pBdr>
          <w:bottom w:val="single" w:color="2E5496" w:sz="8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Question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Does ethanol contact modulate olfactory-bulb (OB) neuron sniff-phase-locking? Specifically: does the mean resultant length (MRL) of OB single-unit spike phase relative to the sniff cycle differ between ethanol-contact and control periods, at the animal/experiment level and at the individual-unit population level?</w:t>
      </w:r>
    </w:p>
    <w:p>
      <w:pPr>
        <w:pBdr>
          <w:bottom w:val="single" w:color="2E5496" w:sz="8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Methods-Summary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Sniff phase was detected from the raw sniff sensor (SNF) signal and ethanol-contact periods were detected from the mean-subtracted ethanol trace (ETH), per experiment, using fixed, pinned thresholds applied identically across all sessions; each spike was assigned a sniff phase and a condition label (ethanol vs. control), and only spikes falling within valid, detected sniff cycles were retained. Units were included only if they met a minimum firing-rate and minimum valid-spike-count criterion. Per included unit, MRL was computed separately for the ethanol and control conditions. Two pre-specified, confirmatory tests were then run: an animal-level paired Wilcoxon signed-rank test on each experiment’s mean per-unit MRL (ethanol vs. control), and a unit-level linear mixed-effects model (MRL as a function of condition, with a random intercept for animal/experiment). Full signal-processing detail, per-experiment QC counts, and the complete discarded-section log are in the companion Methods/QC report.</w:t>
      </w:r>
    </w:p>
    <w:p>
      <w:pPr>
        <w:pBdr>
          <w:bottom w:val="single" w:color="2E5496" w:sz="8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Results — Animal-Level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This is the pre-registered, primary confirmatory test.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paired, exact, two-sided Wilcoxon signed-rank test compared each experiment’s mean per-unit MRL under ethanol versus control (6 experiments, one paired observation per experiment):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Test statistic (W): 5.0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Exact p-value: 0.3125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Matched-pairs rank-biserial r: 0.5238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 = 6 experiments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Because the exact p-value (0.3125) is above the conventional significance threshold, the null hypothesis of no ethanol effect on mean per-unit MRL at the experiment level cannot be rejected. This is the primary, animal-level result of this analysis.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Direction of the (non-significant) shift: examining RESULT-mrl-per-experiment, 5 of 6 experiments showed a numerically higher mean per-unit MRL under ethanol than under control.</w:t>
      </w:r>
    </w:p>
    <w:tbl>
      <w:tblPr>
        <w:tblW w:type="dxa" w:w="9360"/>
        <w:tblBorders>
          <w:top w:val="single" w:color="2E5496" w:sz="4"/>
          <w:left w:val="none"/>
          <w:bottom w:val="single" w:color="2E5496" w:sz="4"/>
          <w:right w:val="none"/>
          <w:insideH w:val="single" w:color="BFBFBF" w:sz="2"/>
          <w:insideV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Experiment</w:t>
            </w:r>
          </w:p>
        </w:tc>
        <w:tc>
          <w:tcPr>
            <w:tcW w:type="dxa" w:w="3120"/>
            <w:shd w:fill="2E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 MRL, control</w:t>
            </w:r>
          </w:p>
        </w:tc>
        <w:tc>
          <w:tcPr>
            <w:tcW w:type="dxa" w:w="3120"/>
            <w:shd w:fill="2E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 MRL, ethanol</w:t>
            </w:r>
          </w:p>
        </w:tc>
      </w:tr>
      <w:tr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2021-11-01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0.0127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0.0312</w:t>
            </w:r>
          </w:p>
        </w:tc>
      </w:tr>
      <w:tr>
        <w:tc>
          <w:tcPr>
            <w:tcW w:type="dxa" w:w="312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2021-11-03</w:t>
            </w:r>
          </w:p>
        </w:tc>
        <w:tc>
          <w:tcPr>
            <w:tcW w:type="dxa" w:w="312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0.0176</w:t>
            </w:r>
          </w:p>
        </w:tc>
        <w:tc>
          <w:tcPr>
            <w:tcW w:type="dxa" w:w="312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0.0521</w:t>
            </w:r>
          </w:p>
        </w:tc>
      </w:tr>
      <w:tr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2021-12-15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0.0170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0.0442</w:t>
            </w:r>
          </w:p>
        </w:tc>
      </w:tr>
      <w:tr>
        <w:tc>
          <w:tcPr>
            <w:tcW w:type="dxa" w:w="312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2022-05-17</w:t>
            </w:r>
          </w:p>
        </w:tc>
        <w:tc>
          <w:tcPr>
            <w:tcW w:type="dxa" w:w="312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0.0778</w:t>
            </w:r>
          </w:p>
        </w:tc>
        <w:tc>
          <w:tcPr>
            <w:tcW w:type="dxa" w:w="312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0.0318</w:t>
            </w:r>
          </w:p>
        </w:tc>
      </w:tr>
      <w:tr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2022-06-24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0.0459</w:t>
            </w:r>
          </w:p>
        </w:tc>
        <w:tc>
          <w:tcPr>
            <w:tcW w:type="dxa" w:w="3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0.0666</w:t>
            </w:r>
          </w:p>
        </w:tc>
      </w:tr>
      <w:tr>
        <w:tc>
          <w:tcPr>
            <w:tcW w:type="dxa" w:w="312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2022-09-14</w:t>
            </w:r>
          </w:p>
        </w:tc>
        <w:tc>
          <w:tcPr>
            <w:tcW w:type="dxa" w:w="312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0.0261</w:t>
            </w:r>
          </w:p>
        </w:tc>
        <w:tc>
          <w:tcPr>
            <w:tcW w:type="dxa" w:w="312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0.1016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With only 6 paired observations, this consistent numerical direction is suggestive but the test is not powered to confirm it statistically; see Limitations.</w:t>
      </w:r>
    </w:p>
    <w:p>
      <w:pPr>
        <w:pBdr>
          <w:bottom w:val="single" w:color="2E5496" w:sz="8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Results — Unit-Level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This is a secondary, exploratory-power (not primary) test.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linear mixed-effects model was fit to the per-unit MRL values, with condition (ethanol vs. control) as a fixed effect and a random intercept for animal/experiment (formula: MRL ~ condition_code):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n_units = 1601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n_experiments = 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Condition fixed-effect p-value (Wald z, REML): 1.43 × 10⁻⁶⁰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Standardized fixed-effect estimate (effect size): 0.5803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condition fixed effect is statistically significant at this unit-level sample size. This unit-level result is secondary to, and does not override, the non-significant animal-level Wilcoxon result above. With 1601 units nested within only 6 experiments, the large unit-level N confers high statistical power to detect even small, consistent shifts in per-unit MRL; a significant condition effect in this model reflects such small, consistent unit-level shifts and should not be interpreted as establishing a population-level (animal-level) ethanol effect, nor as causal evidence that ethanol contact changes phase-locking — the random-intercept term corrects for non-independence of units within the same animal, but the fundamental animal-level replication count (matching the Wilcoxon test above) remains the same regardless of how many units are recorded per animal.</w:t>
      </w:r>
    </w:p>
    <w:p>
      <w:pPr>
        <w:pBdr>
          <w:bottom w:val="single" w:color="2E5496" w:sz="8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Examples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five units with the largest absolute change in phase-locking (|MRL_ethanol − MRL_control|) across all included units, drawn only from experiments/units meeting the stricter (more than 500 spikes per unit per condition) inclusion rule used for this illustrative figure, ranked from largest to smallest delta_MRL:</w:t>
      </w:r>
    </w:p>
    <w:tbl>
      <w:tblPr>
        <w:tblW w:type="dxa" w:w="9360"/>
        <w:tblBorders>
          <w:top w:val="single" w:color="2E5496" w:sz="4"/>
          <w:left w:val="none"/>
          <w:bottom w:val="single" w:color="2E5496" w:sz="4"/>
          <w:right w:val="none"/>
          <w:insideH w:val="single" w:color="BFBFBF" w:sz="2"/>
          <w:insideV w:val="none"/>
        </w:tblBorders>
      </w:tblPr>
      <w:tblGrid>
        <w:gridCol w:w="1560"/>
        <w:gridCol w:w="2400"/>
        <w:gridCol w:w="1800"/>
        <w:gridCol w:w="1800"/>
        <w:gridCol w:w="1800"/>
      </w:tblGrid>
      <w:tr>
        <w:trPr>
          <w:tblHeader/>
        </w:trPr>
        <w:tc>
          <w:tcPr>
            <w:tcW w:type="dxa" w:w="1560"/>
            <w:shd w:fill="2E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 ID</w:t>
            </w:r>
          </w:p>
        </w:tc>
        <w:tc>
          <w:tcPr>
            <w:tcW w:type="dxa" w:w="2400"/>
            <w:shd w:fill="2E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Experiment</w:t>
            </w:r>
          </w:p>
        </w:tc>
        <w:tc>
          <w:tcPr>
            <w:tcW w:type="dxa" w:w="1800"/>
            <w:shd w:fill="2E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delta_MRL</w:t>
            </w:r>
          </w:p>
        </w:tc>
        <w:tc>
          <w:tcPr>
            <w:tcW w:type="dxa" w:w="1800"/>
            <w:shd w:fill="2E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MRL, ethanol</w:t>
            </w:r>
          </w:p>
        </w:tc>
        <w:tc>
          <w:tcPr>
            <w:tcW w:type="dxa" w:w="1800"/>
            <w:shd w:fill="2E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MRL, control</w:t>
            </w:r>
          </w:p>
        </w:tc>
      </w:tr>
      <w:tr>
        <w:tc>
          <w:tcPr>
            <w:tcW w:type="dxa" w:w="1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278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2022-06-24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0.2633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0.0196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0.2829</w:t>
            </w:r>
          </w:p>
        </w:tc>
      </w:tr>
      <w:tr>
        <w:tc>
          <w:tcPr>
            <w:tcW w:type="dxa" w:w="156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259</w:t>
            </w:r>
          </w:p>
        </w:tc>
        <w:tc>
          <w:tcPr>
            <w:tcW w:type="dxa" w:w="24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2021-11-03</w:t>
            </w:r>
          </w:p>
        </w:tc>
        <w:tc>
          <w:tcPr>
            <w:tcW w:type="dxa" w:w="18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0.1784</w:t>
            </w:r>
          </w:p>
        </w:tc>
        <w:tc>
          <w:tcPr>
            <w:tcW w:type="dxa" w:w="18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0.1807</w:t>
            </w:r>
          </w:p>
        </w:tc>
        <w:tc>
          <w:tcPr>
            <w:tcW w:type="dxa" w:w="18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0.0023</w:t>
            </w:r>
          </w:p>
        </w:tc>
      </w:tr>
      <w:tr>
        <w:tc>
          <w:tcPr>
            <w:tcW w:type="dxa" w:w="1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148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2022-06-24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0.1614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0.0295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0.1909</w:t>
            </w:r>
          </w:p>
        </w:tc>
      </w:tr>
      <w:tr>
        <w:tc>
          <w:tcPr>
            <w:tcW w:type="dxa" w:w="156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103</w:t>
            </w:r>
          </w:p>
        </w:tc>
        <w:tc>
          <w:tcPr>
            <w:tcW w:type="dxa" w:w="24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2022-05-17</w:t>
            </w:r>
          </w:p>
        </w:tc>
        <w:tc>
          <w:tcPr>
            <w:tcW w:type="dxa" w:w="18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0.1612</w:t>
            </w:r>
          </w:p>
        </w:tc>
        <w:tc>
          <w:tcPr>
            <w:tcW w:type="dxa" w:w="18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0.0135</w:t>
            </w:r>
          </w:p>
        </w:tc>
        <w:tc>
          <w:tcPr>
            <w:tcW w:type="dxa" w:w="1800"/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0.1747</w:t>
            </w:r>
          </w:p>
        </w:tc>
      </w:tr>
      <w:tr>
        <w:tc>
          <w:tcPr>
            <w:tcW w:type="dxa" w:w="1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141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2021-11-03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0.1588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0.1767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0.0179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These five units are illustrative extremes (largest observed shifts), not a random or representative sample; they are shown to give the reader a concrete sense of what the largest per-unit shifts look like and should not be used to characterize the typical unit. See FIG-DEMO3-EXAMPLES for sniff-locked PSTHs (ethanol + control overlaid) and probe-location maps for each of these five units.</w:t>
      </w:r>
    </w:p>
    <w:p>
      <w:pPr>
        <w:pBdr>
          <w:bottom w:val="single" w:color="2E5496" w:sz="8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Figures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FIG-DEMO3-RESULTS-ANIMAL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"Results: experiment-level MRL comparison (ethanol vs control)." Paired per-experiment points plus the summary statistic; states n_experiments, exact p, and rank-biserial r from RESULT-wilcoxon. Source results: RESULT-mrl-per-experiment, RESULT-wilcoxon.</w:t>
      </w:r>
    </w:p>
    <w:p>
      <w:pPr>
        <w:spacing w:after="40" w:before="80"/>
        <w:jc w:val="center"/>
      </w:pPr>
      <w:r>
        <w:drawing>
          <wp:inline distT="0" distB="0" distL="0" distR="0">
            <wp:extent cx="3619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</w:pPr>
      <w:r>
        <w:rPr>
          <w:rFonts w:ascii="Calibri" w:cs="Calibri" w:eastAsia="Calibri" w:hAnsi="Calibri"/>
          <w:b/>
          <w:bCs/>
          <w:color w:val="2E5496"/>
          <w:sz w:val="18"/>
          <w:szCs w:val="18"/>
        </w:rPr>
        <w:t xml:space="preserve">FIG-DEMO3-RESULTS-ANIMAL.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Experiment-level paired MRL comparison (ethanol vs control); W = 5.0, exact p = 0.3125, rank-biserial r = 0.5238, n = 6.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FIG-DEMO3-RESULTS-UNIT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"Results: unit-level MRL comparison (LME, ethanol vs control)." Per-unit points (raw data, not summary-only) plus the LME condition fixed effect; states n_units, n_experiments, exact p, and standardized fixed-effect estimate from RESULT-lme. Source results: RESULT-mrl-per-unit, RESULT-lme.</w:t>
      </w:r>
    </w:p>
    <w:p>
      <w:pPr>
        <w:spacing w:after="40" w:before="80"/>
        <w:jc w:val="center"/>
      </w:pPr>
      <w:r>
        <w:drawing>
          <wp:inline distT="0" distB="0" distL="0" distR="0">
            <wp:extent cx="3619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</w:pPr>
      <w:r>
        <w:rPr>
          <w:rFonts w:ascii="Calibri" w:cs="Calibri" w:eastAsia="Calibri" w:hAnsi="Calibri"/>
          <w:b/>
          <w:bCs/>
          <w:color w:val="2E5496"/>
          <w:sz w:val="18"/>
          <w:szCs w:val="18"/>
        </w:rPr>
        <w:t xml:space="preserve">FIG-DEMO3-RESULTS-UNIT.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Unit-level MRL comparison (LME); n_units = 1601, n_experiments = 6, p = 1.43 × 10⁻⁶⁰, standardized effect = 0.5803.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FIG-DEMO3-EXAMPLES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"Results: top-five units by |delta_MRL| — sniff-locked PSTHs and probe maps." One row per example unit: sniff-locked PSTH (ethanol + control overlaid) and full probe-location layout with the target unit highlighted. Source results: RESULT-examples-top5, RESULT-mrl-per-unit.</w:t>
      </w:r>
    </w:p>
    <w:p>
      <w:pPr>
        <w:spacing w:after="40" w:before="80"/>
        <w:jc w:val="center"/>
      </w:pPr>
      <w:r>
        <w:drawing>
          <wp:inline distT="0" distB="0" distL="0" distR="0">
            <wp:extent cx="4762500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</w:pPr>
      <w:r>
        <w:rPr>
          <w:rFonts w:ascii="Calibri" w:cs="Calibri" w:eastAsia="Calibri" w:hAnsi="Calibri"/>
          <w:b/>
          <w:bCs/>
          <w:color w:val="2E5496"/>
          <w:sz w:val="18"/>
          <w:szCs w:val="18"/>
        </w:rPr>
        <w:t xml:space="preserve">FIG-DEMO3-EXAMPLES.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Top-five units by |delta_MRL|: sniff-locked PSTHs (ethanol + control overlaid) and probe-location maps.</w:t>
      </w:r>
    </w:p>
    <w:p>
      <w:pPr>
        <w:pBdr>
          <w:bottom w:val="single" w:color="2E5496" w:sz="8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Limitations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The primary, animal-level Wilcoxon test has only 6 experiments as its sample size, which is underpowered to detect anything short of a very large and highly consistent ethanol effect; the non-significant result here means an effect at this level cannot be confirmed, not that no effect exists.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The unit-level LME’s statistical significance is driven substantially by its much larger sample size (1601 units versus a handful of experiments); a significant unit-level condition effect does not by itself establish a population/animal-level effect, and should be read alongside — not instead of — the primary Wilcoxon result.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This is an observational, within-animal comparison of ethanol-contact versus control sniff periods, not a randomized or counterbalanced intervention; the design supports description of association between condition and phase-locking but does not support a causal attribution of any observed shift to ethanol exposure per se, as opposed to other factors that co-vary with ethanol-contact periods (e.g., behavioral state, sniffing pattern changes, or time-in-session).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The top-five example units (Examples section) are selected as the most extreme observed shifts and are not representative of the broader unit population; they illustrate range, not central tendency.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869649b18598229f62e38428accef20a3fea6f6.png"/><Relationship Id="rId8" Type="http://schemas.openxmlformats.org/officeDocument/2006/relationships/image" Target="media/0c79237b9a94ab591d0f159e8c415e296fe6dc4a.png"/><Relationship Id="rId9" Type="http://schemas.openxmlformats.org/officeDocument/2006/relationships/image" Target="media/41a623a4b9876557df979094bdbbacbffd47330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2026-07-23T20:40:56.856Z</dcterms:created>
  <dcterms:modified xsi:type="dcterms:W3CDTF">2026-07-23T20:40:56.856Z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