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63"/>
          <w:sz w:val="36"/>
        </w:rPr>
        <w:t>Analysis Contract — NP-DEMO-4 (v001)</w:t>
      </w:r>
    </w:p>
    <w:p>
      <w:r>
        <w:rPr>
          <w:b/>
        </w:rPr>
        <w:t xml:space="preserve">Scientific question: </w:t>
      </w:r>
      <w:r>
        <w:t>{'description': 'Does instantaneous sniff rate, olfactory-bulb population firing rate, and ethanol-sensor signal vary systematically within and across ethanol-contact trials? Specifically, does instantaneous sniff rate significantly increase within the first ethanol contact on each LabView trial relative to the pre-valve control period (TS = 0-10 s)?', 'docx_source_refs': ['RQ-001', 'RQ-002', 'CON-003']}</w:t>
      </w:r>
    </w:p>
    <w:p>
      <w:r>
        <w:rPr>
          <w:b/>
        </w:rPr>
        <w:t xml:space="preserve">Status: </w:t>
      </w:r>
      <w:r>
        <w:t>exploratory</w:t>
      </w:r>
    </w:p>
    <w:p>
      <w:r>
        <w:rPr>
          <w:b/>
        </w:rPr>
        <w:t xml:space="preserve">Risk tier: </w:t>
      </w:r>
      <w:r>
        <w:t>red</w:t>
      </w:r>
    </w:p>
    <w:p>
      <w:r>
        <w:rPr>
          <w:b/>
        </w:rPr>
        <w:t xml:space="preserve">Experimental structure: </w:t>
      </w:r>
      <w:r>
        <w:t>{'description': 'Six recording sessions correspond to 6 distinct animals (one animal per session, confirmed by David Gire 2026-07-23 — OPEN-007 resolved). Sessions: 2021-11-01, 2021-11-03, 2021-12-15, 2022-05-17, 2022-06-24, 2022-09-14. For CON-003, sniff rate values are averaged within each session/animal, and the resulting 6 per-animal pairs are used for the Wilcoxon test (n_animals=6, no nesting correction required).', 'docx_source_refs': ['DATA-002', 'CON-003']}</w:t>
      </w:r>
    </w:p>
    <w:p>
      <w:r>
        <w:rPr>
          <w:b/>
        </w:rPr>
        <w:t xml:space="preserve">Analysis definition: </w:t>
      </w:r>
      <w:r>
        <w:t>{'description': "Per experiment (6 sessions, 1 animal each): (1) load D-dict via load_experiment_data, applying _fix_ks_dir() for 2022-09-14; (2) detect ethanol contact events via validated detect_eth_contact (mean-subtract ETH, threshold strictly &gt; 0.05, fixed rule, no per-experiment adjustment; n_trials_eth = count of discrete above-threshold runs); (3) segment LabView trials using odd TR values (0-40 s, TS=0-40000 ms; correct corrupted first TS to 0); exclude even TR intervals; (4) compute instantaneous sniff rate at each LV sample via compute_sniff_rate (onset detection + 1/ISI interpolation); (5) apply unit inclusion (FR &gt;= 0.1 Hz AND &gt;= 5000 total spikes); (6) compute 50 ms sliding-window firing rate per included unit, then average across units for population trace; (7) for each LabView trial extract sniff rate, population firing rate, and raw ETH (D['ETH']) over the full 0-40 s window; (8) for CON-003, per LabView trial identify the first discrete ETH contact event, compute mean sniff rate during that contact and during the pre-valve control window (TS=0-10 s, excluding contact overlap); average both within session; test 6 per-animal pairs with exact two-sided Wilcoxon signed-rank test; report W, exact p, rank-biserial r.", 'docx_source_refs': ['RQ-002', 'CON-001', 'CON-002', 'CON-003', 'PROH-001']}</w:t>
      </w:r>
    </w:p>
    <w:p>
      <w:r>
        <w:rPr>
          <w:b/>
          <w:color w:val="1F3B63"/>
          <w:sz w:val="26"/>
        </w:rPr>
        <w:t>Preprocessing</w:t>
      </w:r>
    </w:p>
    <w:p>
      <w:pPr>
        <w:pStyle w:val="ListBullet"/>
      </w:pPr>
      <w:r>
        <w:t>{'step': 'Load D-dict for each of the 6 sessions (dates: 2021-11-01, 2021-11-03, 2021-12-15, 2022-05-17, 2022-06-24, 2022-09-14) via load_experiment_data; apply _fix_ks_dir() for 2022-09-14 (multi-shank).', 'docx_source_refs': ['DATA-001', 'DATA-002']}</w:t>
      </w:r>
    </w:p>
    <w:p>
      <w:pPr>
        <w:pStyle w:val="ListBullet"/>
      </w:pPr>
      <w:r>
        <w:t>{'step': 'Detect ethanol contact events: subtract mean of entire ETH trace, threshold strictly &gt; 0.05. Count discrete contiguous above-threshold runs as n_trials_eth. Fixed rule, no per-experiment adjustment, all 6 sessions. Reuse detect_eth_contact.py from NP-DEMO-3 verbatim. If session 2021-11-03 yields zero contact events, log as excluded and drop.', 'docx_source_refs': ['PROH-001']}</w:t>
      </w:r>
    </w:p>
    <w:p>
      <w:pPr>
        <w:pStyle w:val="ListBullet"/>
      </w:pPr>
      <w:r>
        <w:t>{'step': 'Segment LabView trials: contiguous samples sharing the same odd TR value define one trial (0-40 s per TS). Even TR values excluded. Correct corrupted first TS per trial to 0.', 'docx_source_refs': ['DATA-001']}</w:t>
      </w:r>
    </w:p>
    <w:p>
      <w:pPr>
        <w:pStyle w:val="ListBullet"/>
      </w:pPr>
      <w:r>
        <w:t>{'step': 'Compute instantaneous sniff rate at each LV sample from SNF via compute_sniff_rate: (a) detect sniff onsets; (b) compute inter-onset intervals; (c) interpolate 1/ISI to each sample (Hz); nearest-neighbor extrapolation outside onset boundaries.', 'docx_source_refs': ['RQ-002']}</w:t>
      </w:r>
    </w:p>
    <w:p>
      <w:pPr>
        <w:pStyle w:val="ListBullet"/>
      </w:pPr>
      <w:r>
        <w:t>{'step': 'Apply unit inclusion: retain unit if and only if overall mean firing rate &gt;= 0.1 Hz AND total spike count &gt;= 5000 throughout the experiment. Log n_units_recorded and n_units_included per session.', 'docx_source_refs': ['CON-001']}</w:t>
      </w:r>
    </w:p>
    <w:p>
      <w:pPr>
        <w:pStyle w:val="ListBullet"/>
      </w:pPr>
      <w:r>
        <w:t>{'step': 'For each included unit compute 50 ms sliding-window firing rate (spikes in [t-25 ms, t+25 ms] / 0.05 s) at each LV sample. Average across included units for population firing rate trace (Hz).', 'docx_source_refs': ['CON-001']}</w:t>
      </w:r>
    </w:p>
    <w:p>
      <w:r>
        <w:rPr>
          <w:b/>
          <w:color w:val="1F3B63"/>
          <w:sz w:val="26"/>
        </w:rPr>
        <w:t>Aggregation</w:t>
      </w:r>
    </w:p>
    <w:p>
      <w:pPr>
        <w:pStyle w:val="ListBullet"/>
      </w:pPr>
      <w:r>
        <w:t>{'step': "For each odd-TR LabView trial extract: (a) instantaneous sniff rate vector; (b) population firing rate vector; (c) raw ETH sensor values (D['ETH'] before mean-subtraction) — all over the full 0-40 s TS window at LV sample resolution. Store as (n_LabView_trials x n_samples) matrices for RESULT-sniff-rate-matrix, RESULT-fr-per-trial, RESULT-eth-per-trial.", 'docx_source_refs': ['RQ-002', 'CON-001', 'CON-002', 'OUT-003', 'OUT-004', 'OUT-005']}</w:t>
      </w:r>
    </w:p>
    <w:p>
      <w:pPr>
        <w:pStyle w:val="ListBullet"/>
      </w:pPr>
      <w:r>
        <w:t>{'step': 'For Figure 1/2/3 Panel 2: pool all LabView trials across all sessions; compute trial-averaged signal and 95% parametric CI (mean ± 1.96*SEM) at each time point (0-40 s) for RESULT-sniff-rate-avg, RESULT-fr-avg, RESULT-eth-avg.', 'docx_source_refs': ['OUT-003', 'OUT-004', 'OUT-005']}</w:t>
      </w:r>
    </w:p>
    <w:p>
      <w:pPr>
        <w:pStyle w:val="ListBullet"/>
      </w:pPr>
      <w:r>
        <w:t>{'step': "For CON-003: per LabView trial identify the first discrete ETH contact event (first above-threshold run overlapping that trial's sample range). Extract mean sniff rate within that contact period and mean sniff rate during the pre-valve control window (TS=0-10 s, excluding the contact period). If a trial has no contact event, exclude it from CON-003 and log. Compute per-session mean for each condition.", 'docx_source_refs': ['CON-003']}</w:t>
      </w:r>
    </w:p>
    <w:p>
      <w:pPr>
        <w:pStyle w:val="ListBullet"/>
      </w:pPr>
      <w:r>
        <w:t>{'step': "CON-003 cross-animal test: apply exact two-sided Wilcoxon signed-rank test (scipy.stats.wilcoxon, mode='exact') to the 6 per-animal pairs (mean sniff rate in first contact vs. mean sniff rate in control period). Report W, exact two-sided p, rank-biserial r, n_animals=6.", 'docx_source_refs': ['CON-003']}</w:t>
      </w:r>
    </w:p>
    <w:p>
      <w:pPr>
        <w:pStyle w:val="ListBullet"/>
      </w:pPr>
      <w:r>
        <w:t>{'step': 'For RESULT-methods-table per session: (a) n_trials_eth (discrete ETH contact events); (b) avg_sniffs_per_LabView_trial (mean sniff onsets per odd-TR trial, same onset detection as compute_sniff_rate); (c) avg_eth_contacts_per_LabView_trial (mean count of discrete ETH contact events per odd-TR trial); (d) n_units_recorded; (e) n_units_included.', 'docx_source_refs': ['OUT-001']}</w:t>
      </w:r>
    </w:p>
    <w:p>
      <w:r>
        <w:rPr>
          <w:b/>
          <w:color w:val="1F3B63"/>
          <w:sz w:val="26"/>
        </w:rPr>
        <w:t>Required Validated Functions</w:t>
      </w:r>
    </w:p>
    <w:p>
      <w:pPr>
        <w:pStyle w:val="ListBullet"/>
      </w:pPr>
      <w:r>
        <w:t>{'name': 'detect_eth_contact', 'module': '_pipeline/NP-DEMO-3/03_software/detect_eth_contact.py', 'usage': 'Reuse NP-DEMO-3 validated kernel VERBATIM (eth_threshold=0.05, mean-subtracted ETH, fixed rule, no per-experiment adjustment). n_trials_eth = count of discrete contiguous above-threshold runs.', 'docx_source_refs': ['PROH-001']}</w:t>
      </w:r>
    </w:p>
    <w:p>
      <w:pPr>
        <w:pStyle w:val="ListBullet"/>
      </w:pPr>
      <w:r>
        <w:t>{'name': 'load_experiment_data', 'module': 'Optimized Python/load_experiment_data.py', 'usage': 'Standard D-dict loader. MUST apply _fix_ks_dir() helper for the 2022-09-14 session (multi-shank; KS output one directory level deeper).', 'docx_source_refs': ['DATA-001', 'DATA-002']}</w:t>
      </w:r>
    </w:p>
    <w:p>
      <w:r>
        <w:rPr>
          <w:b/>
          <w:color w:val="1F3B63"/>
          <w:sz w:val="26"/>
        </w:rPr>
        <w:t>Prohibited Changes</w:t>
      </w:r>
    </w:p>
    <w:p>
      <w:pPr>
        <w:pStyle w:val="ListBullet"/>
      </w:pPr>
      <w:r>
        <w:t>{'change': 'Modifying detect_eth_contact.py (NP-DEMO-3 kernel) in any way — threshold, mean-subtraction, or contiguous-run logic.', 'docx_source_refs': ['PROH-001']}</w:t>
      </w:r>
    </w:p>
    <w:p>
      <w:pPr>
        <w:pStyle w:val="ListBullet"/>
      </w:pPr>
      <w:r>
        <w:t>{'change': 'Using raw (non-mean-subtracted) ETH for ethanol contact thresholding.', 'docx_source_refs': ['PROH-001']}</w:t>
      </w:r>
    </w:p>
    <w:p>
      <w:pPr>
        <w:pStyle w:val="ListBullet"/>
      </w:pPr>
      <w:r>
        <w:t>{'change': 'Applying per-experiment threshold adjustment; identical 0.05 rule must apply to all 6 sessions.', 'docx_source_refs': ['PROH-001']}</w:t>
      </w:r>
    </w:p>
    <w:p>
      <w:pPr>
        <w:pStyle w:val="ListBullet"/>
      </w:pPr>
      <w:r>
        <w:t>{'change': 'Editing any file under Optimized Python/, Golden Fixtures/, or any tolerance configuration.', 'docx_source_refs': ['DATA-001']}</w:t>
      </w:r>
    </w:p>
    <w:p>
      <w:pPr>
        <w:pStyle w:val="ListBullet"/>
      </w:pPr>
      <w:r>
        <w:t>{'change': 'Using LFP instead of SNF for sniff rate computation.', 'docx_source_refs': ['RQ-002']}</w:t>
      </w:r>
    </w:p>
    <w:p>
      <w:pPr>
        <w:pStyle w:val="ListBullet"/>
      </w:pPr>
      <w:r>
        <w:t>{'change': 'Computing firing rate with window other than 50 ms centered at t (window [t-25 ms, t+25 ms] is contract-pinned).', 'docx_source_refs': ['CON-001']}</w:t>
      </w:r>
    </w:p>
    <w:p>
      <w:pPr>
        <w:pStyle w:val="ListBullet"/>
      </w:pPr>
      <w:r>
        <w:t>{'change': 'Including even-TR LabView trials (inter-trial intervals) in any analysis or figure.', 'docx_source_refs': ['DATA-001']}</w:t>
      </w:r>
    </w:p>
    <w:p>
      <w:r>
        <w:rPr>
          <w:b/>
          <w:color w:val="1F3B63"/>
          <w:sz w:val="26"/>
        </w:rPr>
        <w:t>Failure Conditions</w:t>
      </w:r>
    </w:p>
    <w:p>
      <w:pPr>
        <w:pStyle w:val="ListBullet"/>
      </w:pPr>
      <w:r>
        <w:t>{'condition': 'detect_eth_contact finds no above-threshold contact events for a session; session logged and excluded.', 'docx_source_refs': ['PROH-001']}</w:t>
      </w:r>
    </w:p>
    <w:p>
      <w:pPr>
        <w:pStyle w:val="ListBullet"/>
      </w:pPr>
      <w:r>
        <w:t>{'condition': 'After excluding sessions with no contact events, fewer than 3 sessions remain for CON-003 Wilcoxon; execution blocked and reported.', 'docx_source_refs': ['CON-003']}</w:t>
      </w:r>
    </w:p>
    <w:p>
      <w:pPr>
        <w:pStyle w:val="ListBullet"/>
      </w:pPr>
      <w:r>
        <w:t>{'condition': 'Fixture-slice disagreement beyond pinned tolerance for any required output.', 'docx_source_refs': ['PROH-001', 'CON-001']}</w:t>
      </w:r>
    </w:p>
    <w:p>
      <w:r>
        <w:rPr>
          <w:b/>
        </w:rPr>
        <w:t xml:space="preserve">Statistical model: </w:t>
      </w:r>
      <w:r>
        <w:t>[{'level': 'cross_animal', 'method': "Exact two-sided Wilcoxon signed-rank test (scipy.stats.wilcoxon, mode='exact'). Input: 6 per-animal pairs (mean sniff rate in first ETH contact vs. mean sniff rate in pre-valve control period, TS=0-10 s). Report: W statistic, exact two-sided p-value, matched-pairs rank-biserial r as effect size (r = 1 - 2W/(n*(n+1)/2)). n_pairs=6. Resolution of OPEN-006 by David Gire 2026-07-23.", 'docx_source_refs': ['CON-003']}]</w:t>
      </w:r>
    </w:p>
    <w:p>
      <w:r>
        <w:rPr>
          <w:b/>
        </w:rPr>
        <w:t xml:space="preserve">Multiple-comparison treatment: </w:t>
      </w:r>
      <w:r>
        <w:t>{'description': 'None. A single paired test comparing two conditions (sniff rate in first ethanol contact vs. pre-valve control period) across 6 animals. No per-trial or per-unit correction is contracted.', 'docx_source_refs': ['CON-003']}</w:t>
      </w:r>
    </w:p>
    <w:p>
      <w:r>
        <w:rPr>
          <w:b/>
        </w:rPr>
        <w:t xml:space="preserve">Inclusion / exclusion: </w:t>
      </w:r>
      <w:r>
        <w:t>[{'rule': 'Unit included only if overall mean firing rate &gt;= 0.1 Hz AND total spike count &gt;= 5000 throughout the entire experiment. Both criteria must be satisfied simultaneously.', 'docx_source_refs': ['CON-001']}, {'rule': 'Only odd TR values constitute valid LabView trials; even TR values (inter-trial intervals) are excluded from all analyses and figures.', 'docx_source_refs': ['DATA-001']}, {'rule': 'Ethanol contact detection uses validated detect_eth_contact.py verbatim (mean-subtracted ETH strictly &gt; 0.05, fixed threshold, no per-experiment adjustment). n_trials_eth = count of discrete contiguous above-threshold runs across full session.', 'docx_source_refs': ['PROH-001']}, {'rule': 'LabView trials with no ETH contact event (zero above-threshold runs within the trial sample range) are excluded from CON-003 sniff-rate comparison and logged with reason.', 'docx_source_refs': ['CON-003']}, {'rule': '2022-09-14 multi-shank session requires _fix_ks_dir() in load_experiment_data to locate Kilosort output at the correct directory depth.', 'docx_source_refs': ['DATA-001', 'DATA-002']}, {'rule': 'Session 2021-11-03 is included; if detect_eth_contact returns zero contact events it is excluded with reason logged and dropped from all downstream statistics.', 'docx_source_refs': ['PROH-001', 'DATA-002']}]</w:t>
      </w:r>
    </w:p>
    <w:p>
      <w:r>
        <w:rPr>
          <w:b/>
          <w:color w:val="1F3B63"/>
          <w:sz w:val="26"/>
        </w:rPr>
        <w:t>Inputs</w:t>
      </w:r>
    </w:p>
    <w:p>
      <w:pPr>
        <w:pStyle w:val="ListBullet"/>
      </w:pPr>
      <w:r>
        <w:t>{'object': 'D-dict', 'from': 'load_experiment_data', 'fields': ['SNF', 'ETH', 'TR', 'TS', 'sp.st', 'sp.clu', 'unitIDs', 'LV_Fs', 'unitFiringRate'], 'docx_source_refs': ['DATA-001']}</w:t>
      </w:r>
    </w:p>
    <w:p>
      <w:pPr>
        <w:pStyle w:val="ListBullet"/>
      </w:pPr>
      <w:r>
        <w:t>{'object': 'SNF', 'description': 'Raw sniff-sensor pressure trace (LabView .dat, ~125 Hz). Source for instantaneous sniff rate: detect sniff onsets, compute inter-onset intervals, interpolate 1/ISI to each LV sample (Hz).', 'docx_source_refs': ['RQ-002']}</w:t>
      </w:r>
    </w:p>
    <w:p>
      <w:pPr>
        <w:pStyle w:val="ListBullet"/>
      </w:pPr>
      <w:r>
        <w:t>{'object': 'ETH', 'description': 'Ethanol sensor trace, normalized 0-1. Mean-subtracted before thresholding at 0.05 to detect contact events (PROH-001). Raw ETH (before mean-subtraction) reported in Figure 3 per CON-002.', 'docx_source_refs': ['CON-002', 'PROH-001']}</w:t>
      </w:r>
    </w:p>
    <w:p>
      <w:pPr>
        <w:pStyle w:val="ListBullet"/>
      </w:pPr>
      <w:r>
        <w:t>{'object': 'TR', 'description': 'LabView trial number per sample (int32). Odd TR values = valid trials; even TR values = inter-trial intervals (excluded).', 'docx_source_refs': ['DATA-001']}</w:t>
      </w:r>
    </w:p>
    <w:p>
      <w:pPr>
        <w:pStyle w:val="ListBullet"/>
      </w:pPr>
      <w:r>
        <w:t>{'object': 'TS', 'description': 'Within-trial timestamp per sample in ms. TS=0 = trial start; pre-valve control period = TS 0-10000 ms; odor period = TS 10000-20000 ms (valve open); post-odor period = TS 20000-40000 ms (odor cleared, recording continues). Trial ends at TS=40000 ms. First TS sample per trial is corrupted; set to 0.', 'docx_source_refs': ['DATA-001']}</w:t>
      </w:r>
    </w:p>
    <w:p>
      <w:pPr>
        <w:pStyle w:val="ListBullet"/>
      </w:pPr>
      <w:r>
        <w:t>{'object': 'spike_times', 'source': 'Kilosort output dir via load_experiment_data; requires _fix_ks_dir() for 2022-09-14 multi-shank session.', 'units': 'seconds', 'docx_source_refs': ['DATA-001', 'DATA-002']}</w:t>
      </w:r>
    </w:p>
    <w:p>
      <w:r>
        <w:rPr>
          <w:b/>
          <w:color w:val="1F3B63"/>
          <w:sz w:val="26"/>
        </w:rPr>
        <w:t>Data provenance (WHICH data — propagated from the request)</w:t>
      </w:r>
    </w:p>
    <w:p>
      <w:pPr>
        <w:pStyle w:val="ListBullet"/>
      </w:pPr>
      <w:r>
        <w:t>description: Six sessions, one animal each (confirmed by David Gire 2026-07-23 — OPEN-007 resolved), under C:\Projects\Repos\Neuropixels\DATA: 2021-11-01, 2021-11-03, 2021-12-15, 2022-05-17, 2022-06-24, 2022-09-14. The 2022-09-14 session is multi-shank and requires _fix_ks_dir(). Session 2021-11-03 is provisionally included; excluded if detect_eth_contact finds no contact events. Conventions file: C:\Projects\Repos\Neuropixels\DATA\Conventions\Neuropixels experimental conventions.docx.</w:t>
      </w:r>
    </w:p>
    <w:p>
      <w:pPr>
        <w:pStyle w:val="ListBullet"/>
      </w:pPr>
      <w:r>
        <w:t>docx source refs: DATA-001</w:t>
      </w:r>
    </w:p>
    <w:p>
      <w:pPr>
        <w:pStyle w:val="ListBullet"/>
      </w:pPr>
      <w:r>
        <w:t>docx source refs: DATA-002</w:t>
      </w:r>
    </w:p>
    <w:p>
      <w:r>
        <w:rPr>
          <w:b/>
          <w:color w:val="1F3B63"/>
          <w:sz w:val="26"/>
        </w:rPr>
        <w:t>Required outputs</w:t>
      </w:r>
    </w:p>
    <w:p>
      <w:pPr>
        <w:pStyle w:val="ListBullet"/>
      </w:pPr>
      <w:r>
        <w:t>{'result_id': 'RESULT-eth-mask', 'type': 'table', 'desc': 'Per-session: mean-subtracted ETH trace, binary contact mask (strictly-above-threshold = True), n_trials_eth (integer count of discrete above-threshold runs). Defines contact event boundaries for all downstream analyses.', 'docx_source_refs': ['PROH-001']}</w:t>
      </w:r>
    </w:p>
    <w:p>
      <w:pPr>
        <w:pStyle w:val="ListBullet"/>
      </w:pPr>
      <w:r>
        <w:t>{'result_id': 'RESULT-unit-inclusion', 'type': 'table', 'desc': 'Per-session: n_units_recorded (total Kilosort units), n_units_included (meeting FR &gt;= 0.1 Hz AND &gt;= 5000 spikes), list of included unit IDs.', 'docx_source_refs': ['CON-001']}</w:t>
      </w:r>
    </w:p>
    <w:p>
      <w:pPr>
        <w:pStyle w:val="ListBullet"/>
      </w:pPr>
      <w:r>
        <w:t>{'result_id': 'RESULT-sniff-rate-matrix', 'type': 'matrix', 'desc': 'Per-session: (n_LabView_trials x n_samples) matrix of instantaneous sniff rate (Hz) at each LV sample for each odd-TR trial (TS=0-40 s window).', 'docx_source_refs': ['RQ-002', 'OUT-003']}</w:t>
      </w:r>
    </w:p>
    <w:p>
      <w:pPr>
        <w:pStyle w:val="ListBullet"/>
      </w:pPr>
      <w:r>
        <w:t>{'result_id': 'RESULT-sniff-rate-avg', 'type': 'array', 'desc': 'Trial-averaged instantaneous sniff rate (Hz) and 95% parametric CI (mean ± 1.96*SEM) at each time point (0-40 s), pooled across all sessions and LabView trials.', 'docx_source_refs': ['OUT-003']}</w:t>
      </w:r>
    </w:p>
    <w:p>
      <w:pPr>
        <w:pStyle w:val="ListBullet"/>
      </w:pPr>
      <w:r>
        <w:t>{'result_id': 'RESULT-fr-per-trial', 'type': 'matrix', 'desc': 'Per-session: (n_LabView_trials x n_samples) matrix of average population firing rate (Hz, mean across included units) at each LV sample for each odd-TR trial (TS=0-40 s window).', 'docx_source_refs': ['CON-001', 'OUT-004']}</w:t>
      </w:r>
    </w:p>
    <w:p>
      <w:pPr>
        <w:pStyle w:val="ListBullet"/>
      </w:pPr>
      <w:r>
        <w:t>{'result_id': 'RESULT-fr-avg', 'type': 'array', 'desc': 'Trial-averaged population firing rate (Hz) and 95% parametric CI (mean ± 1.96*SEM) at each time point (0-40 s), pooled across all sessions and LabView trials.', 'docx_source_refs': ['OUT-004']}</w:t>
      </w:r>
    </w:p>
    <w:p>
      <w:pPr>
        <w:pStyle w:val="ListBullet"/>
      </w:pPr>
      <w:r>
        <w:t>{'result_id': 'RESULT-eth-per-trial', 'type': 'matrix', 'desc': "Per-session: (n_LabView_trials x n_samples) matrix of raw ETH sensor value (D['ETH'], normalized 0-1, before mean-subtraction) for each odd-TR trial (TS=0-40 s window).", 'docx_source_refs': ['CON-002', 'OUT-005']}</w:t>
      </w:r>
    </w:p>
    <w:p>
      <w:pPr>
        <w:pStyle w:val="ListBullet"/>
      </w:pPr>
      <w:r>
        <w:t>{'result_id': 'RESULT-eth-avg', 'type': 'array', 'desc': 'Trial-averaged raw ETH sensor value and 95% parametric CI (mean ± 1.96*SEM) at each time point (0-40 s), pooled across all sessions and LabView trials.', 'docx_source_refs': ['OUT-005']}</w:t>
      </w:r>
    </w:p>
    <w:p>
      <w:pPr>
        <w:pStyle w:val="ListBullet"/>
      </w:pPr>
      <w:r>
        <w:t>{'result_id': 'RESULT-methods-table', 'type': 'table', 'desc': 'Per-session: n_trials_eth (ETH contact events), avg_sniffs_per_LabView_trial, avg_eth_contacts_per_LabView_trial, n_units_recorded, n_units_included.', 'docx_source_refs': ['OUT-001']}</w:t>
      </w:r>
    </w:p>
    <w:p>
      <w:pPr>
        <w:pStyle w:val="ListBullet"/>
      </w:pPr>
      <w:r>
        <w:t>{'result_id': 'RESULT-sniff-stat', 'type': 'object', 'desc': 'CON-003 Wilcoxon result: W statistic, exact two-sided p-value, rank-biserial r, n_animals=6, per-animal mean sniff rate in first contact and control period, n_qualifying_trials_per_session.', 'docx_source_refs': ['CON-003']}</w:t>
      </w:r>
    </w:p>
    <w:p>
      <w:r>
        <w:rPr>
          <w:b/>
          <w:color w:val="1F3B63"/>
          <w:sz w:val="26"/>
        </w:rPr>
        <w:t>Acceptance criteria (fixed up front — no post-hoc downgrade)</w:t>
      </w:r>
    </w:p>
    <w:p>
      <w:pPr>
        <w:pStyle w:val="ListBullet"/>
      </w:pPr>
      <w:r>
        <w:t>RESULT-eth-mask: level 1 — Binary contact mask and n_trials_eth must match NP-DEMO-3 validated outputs exactly for the same 6 sessions (deterministic threshold; zero tolerance). [exact]</w:t>
      </w:r>
    </w:p>
    <w:p>
      <w:pPr>
        <w:pStyle w:val="ListBullet"/>
      </w:pPr>
      <w:r>
        <w:t>RESULT-unit-inclusion: level 1 — n_units_recorded and n_units_included are exact integers; unit ID lists must match exactly on fixture slice. [exact]</w:t>
      </w:r>
    </w:p>
    <w:p>
      <w:pPr>
        <w:pStyle w:val="ListBullet"/>
      </w:pPr>
      <w:r>
        <w:t>RESULT-sniff-rate-matrix: level 3 — Per-trial sniff rate vector within 1e-4 Hz of reference on fixture slice; distributional agreement on full workload. Fixture from first validated compute_sniff_rate run. [distributional]</w:t>
      </w:r>
    </w:p>
    <w:p>
      <w:pPr>
        <w:pStyle w:val="ListBullet"/>
      </w:pPr>
      <w:r>
        <w:t>RESULT-fr-per-trial: level 3 — Per-trial population firing rate within 1e-4 Hz on fixture slice (deterministic sliding-window); distributional agreement on full workload. [distributional]</w:t>
      </w:r>
    </w:p>
    <w:p>
      <w:pPr>
        <w:pStyle w:val="ListBullet"/>
      </w:pPr>
      <w:r>
        <w:t>RESULT-eth-per-trial: level 2 — Per-trial raw ETH values within 1e-6 of reference on fixture slice (deterministic from D['ETH']). [numeric]</w:t>
      </w:r>
    </w:p>
    <w:p>
      <w:pPr>
        <w:pStyle w:val="ListBullet"/>
      </w:pPr>
      <w:r>
        <w:t>RESULT-methods-table: level 1 — n_trials_eth and n_units_* exact integers; avg_sniffs and avg_eth_contacts within 1e-4 on fixture slice. [numeric]</w:t>
      </w:r>
    </w:p>
    <w:p>
      <w:pPr>
        <w:pStyle w:val="ListBullet"/>
      </w:pPr>
      <w:r>
        <w:t>RESULT-sniff-stat: level 3 — Same significance decision (alpha=0.05) on full workload; W exact integer match; exact p within 1e-6; rank-biserial r within 1e-4 on fixture slice. [statistical_decision]</w:t>
      </w:r>
    </w:p>
    <w:p>
      <w:r>
        <w:rPr>
          <w:b/>
          <w:color w:val="1F3B63"/>
          <w:sz w:val="28"/>
        </w:rPr>
        <w:t>Figure Contract — FIG-DEMO4-1-SNIFF: Figure 1: Sniff rate within each trial</w:t>
      </w:r>
    </w:p>
    <w:p>
      <w:r>
        <w:rPr>
          <w:b/>
        </w:rPr>
        <w:t xml:space="preserve">Purpose: </w:t>
      </w:r>
      <w:r>
        <w:t>Characterize how instantaneous sniff rate evolves over the full 40-second LabView trial (TS=0-40 s) across all trials, and show the trial-averaged profile with uncertainty. Panel 1: heatmap (waterfall) with one row per odd-TR LabView trial (y-axis = trial number), time on x-axis (0-40 s, TS=0 reference), instantaneous sniff rate (Hz) as color (jet colormap). Panel 2: line plot of sniff rate averaged across all trials (pooled across sessions) with 95% parametric CI (mean ± 1.96*SEM) as shaded band.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RESULT-sniff-rate-matrix, RESULT-sniff-rate-avg</w:t>
      </w:r>
    </w:p>
    <w:p>
      <w:r>
        <w:rPr>
          <w:b/>
        </w:rPr>
        <w:t xml:space="preserve">Axis requirements: </w:t>
      </w:r>
      <w:r>
        <w:t>{'x_label': 'time from trial start (s)', 'y_label': 'trial number (LabView) [Panel 1] / sniff rate (Hz) [Panel 2]',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[], 'exact_p_values': False, 'significance_stars': False}</w:t>
      </w:r>
    </w:p>
    <w:p>
      <w:r>
        <w:rPr>
          <w:b/>
          <w:color w:val="1F3B63"/>
          <w:sz w:val="28"/>
        </w:rPr>
        <w:t>Figure Contract — FIG-DEMO4-2-FR: Figure 2: Firing rate within each trial</w:t>
      </w:r>
    </w:p>
    <w:p>
      <w:r>
        <w:rPr>
          <w:b/>
        </w:rPr>
        <w:t xml:space="preserve">Purpose: </w:t>
      </w:r>
      <w:r>
        <w:t>Characterize how average olfactory-bulb population firing rate (mean across all included units) evolves over the full 40-second LabView trial, and show the trial-averaged profile with uncertainty. Panel 1: heatmap (waterfall) with one row per odd-TR LabView trial (y-axis = trial number), time on x-axis (0-40 s, TS=0 reference), average population firing rate (Hz) as color (jet colormap). Panel 2: line plot of population firing rate averaged across all trials (pooled across sessions) with 95% parametric CI (mean ± 1.96*SEM) as shaded band.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RESULT-fr-per-trial, RESULT-fr-avg, RESULT-unit-inclusion</w:t>
      </w:r>
    </w:p>
    <w:p>
      <w:r>
        <w:rPr>
          <w:b/>
        </w:rPr>
        <w:t xml:space="preserve">Axis requirements: </w:t>
      </w:r>
      <w:r>
        <w:t>{'x_label': 'time from trial start (s)', 'y_label': 'trial number (LabView) [Panel 1] / firing rate (Hz) [Panel 2]',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[], 'exact_p_values': False, 'significance_stars': False}</w:t>
      </w:r>
    </w:p>
    <w:p>
      <w:r>
        <w:rPr>
          <w:b/>
          <w:color w:val="1F3B63"/>
          <w:sz w:val="28"/>
        </w:rPr>
        <w:t>Figure Contract — FIG-DEMO4-3-ETH: Figure 3: Ethanol sensor value within each trial</w:t>
      </w:r>
    </w:p>
    <w:p>
      <w:r>
        <w:rPr>
          <w:b/>
        </w:rPr>
        <w:t xml:space="preserve">Purpose: </w:t>
      </w:r>
      <w:r>
        <w:t>Show the raw ETH sensor value (D['ETH'], normalized 0-1, before mean-subtraction, per CON-002) within each LabView trial and the trial-averaged ETH profile, characterizing the structure and timing of ethanol exposure across trials. Panel 1: heatmap (waterfall) with one row per odd-TR LabView trial (y-axis = trial number), time on x-axis (0-40 s, TS=0 reference), raw ETH sensor value as color (jet colormap). Panel 2: line plot of raw ETH sensor value averaged across all trials (pooled across sessions) with 95% parametric CI (mean ± 1.96*SEM) as shaded band.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RESULT-eth-per-trial, RESULT-eth-avg</w:t>
      </w:r>
    </w:p>
    <w:p>
      <w:r>
        <w:rPr>
          <w:b/>
        </w:rPr>
        <w:t xml:space="preserve">Axis requirements: </w:t>
      </w:r>
      <w:r>
        <w:t>{'x_label': 'time from trial start (s)', 'y_label': 'trial number (LabView) [Panel 1] / ETH sensor value (a.u.) [Panel 2]',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[], 'exact_p_values': False, 'significance_stars': False}</w:t>
      </w:r>
    </w:p>
    <w:p>
      <w:r>
        <w:rPr>
          <w:b/>
          <w:color w:val="1F3B63"/>
          <w:sz w:val="28"/>
        </w:rPr>
        <w:t>Report Contract — methods_report</w:t>
      </w:r>
    </w:p>
    <w:p>
      <w:r>
        <w:rPr>
          <w:b/>
        </w:rPr>
        <w:t xml:space="preserve">Output file: </w:t>
      </w:r>
      <w:r>
        <w:t>NP-DEMO-4_methods.docx</w:t>
      </w:r>
    </w:p>
    <w:p>
      <w:r>
        <w:rPr>
          <w:b/>
        </w:rPr>
        <w:t xml:space="preserve">Audience: </w:t>
      </w:r>
      <w:r>
        <w:t>lab + demo (interim descriptive deliverable)</w:t>
      </w:r>
    </w:p>
    <w:p>
      <w:r>
        <w:rPr>
          <w:b/>
        </w:rPr>
        <w:t xml:space="preserve">Scientific status: </w:t>
      </w:r>
      <w:r>
        <w:t>interim</w:t>
      </w:r>
    </w:p>
    <w:p>
      <w:r>
        <w:rPr>
          <w:b/>
        </w:rPr>
        <w:t xml:space="preserve">Required sections: </w:t>
      </w:r>
      <w:r>
        <w:t>Methods, Per-Experiment Summary Table</w:t>
      </w:r>
    </w:p>
    <w:p>
      <w:r>
        <w:rPr>
          <w:b/>
        </w:rPr>
        <w:t xml:space="preserve">Required tables: </w:t>
      </w:r>
      <w:r>
        <w:t>RESULT-methods-table</w:t>
      </w:r>
    </w:p>
    <w:p>
      <w:r>
        <w:rPr>
          <w:b/>
        </w:rPr>
        <w:t xml:space="preserve">Reporting rules: </w:t>
      </w:r>
      <w:r>
        <w:t>{'exact_N': True, 'report_exclusions': True, 'report_effect_sizes': False, 'report_exact_p': False, 'prohibit_causal_language': True, 'prohibit_uncontracted_post_hoc': True, 'separate_qc_document_required': True}</w:t>
      </w:r>
    </w:p>
    <w:p>
      <w:r>
        <w:rPr>
          <w:b/>
          <w:color w:val="1F3B63"/>
          <w:sz w:val="28"/>
        </w:rPr>
        <w:t>Report Contract — results_report</w:t>
      </w:r>
    </w:p>
    <w:p>
      <w:r>
        <w:rPr>
          <w:b/>
        </w:rPr>
        <w:t xml:space="preserve">Output file: </w:t>
      </w:r>
      <w:r>
        <w:t>NP-DEMO-4_results.docx</w:t>
      </w:r>
    </w:p>
    <w:p>
      <w:r>
        <w:rPr>
          <w:b/>
        </w:rPr>
        <w:t xml:space="preserve">Audience: </w:t>
      </w:r>
      <w:r>
        <w:t>lab + demo</w:t>
      </w:r>
    </w:p>
    <w:p>
      <w:r>
        <w:rPr>
          <w:b/>
        </w:rPr>
        <w:t xml:space="preserve">Scientific status: </w:t>
      </w:r>
      <w:r>
        <w:t>confirmatory</w:t>
      </w:r>
    </w:p>
    <w:p>
      <w:r>
        <w:rPr>
          <w:b/>
        </w:rPr>
        <w:t xml:space="preserve">Required sections: </w:t>
      </w:r>
      <w:r>
        <w:t>Results, Figures</w:t>
      </w:r>
    </w:p>
    <w:p>
      <w:r>
        <w:rPr>
          <w:b/>
        </w:rPr>
        <w:t xml:space="preserve">Required figures: </w:t>
      </w:r>
      <w:r>
        <w:t>FIG-DEMO4-1-SNIFF, FIG-DEMO4-2-FR, FIG-DEMO4-3-ETH</w:t>
      </w:r>
    </w:p>
    <w:p>
      <w:r>
        <w:rPr>
          <w:b/>
        </w:rPr>
        <w:t xml:space="preserve">Required tables: </w:t>
      </w:r>
      <w:r>
        <w:t>RESULT-sniff-stat</w:t>
      </w:r>
    </w:p>
    <w:p>
      <w:r>
        <w:rPr>
          <w:b/>
        </w:rPr>
        <w:t xml:space="preserve">Reporting rules: </w:t>
      </w:r>
      <w:r>
        <w:t>{'exact_N': True, 'report_exclusions': True, 'report_effect_sizes': True, 'report_exact_p': True, 'prohibit_causal_language': False, 'prohibit_uncontracted_post_hoc': True, 'separate_qc_document_required': False}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