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NP-DEMO-4: Methods</w:t>
      </w:r>
    </w:p>
    <w:p>
      <w:pPr>
        <w:pStyle w:val="Heading1"/>
      </w:pPr>
      <w:r>
        <w:t>Research Question</w:t>
      </w:r>
    </w:p>
    <w:p>
      <w:r>
        <w:t>This analysis addresses whether instantaneous sniff rate during the first ethanol contact on a trial differs from sniff rate during a pre-valve control period (trial timestamp, TS, 0-10 s). Related descriptive outputs characterize how sniff rate, olfactory bulb population firing rate, and the ethanol sensor signal evolve across the full trial window.</w:t>
      </w:r>
    </w:p>
    <w:p>
      <w:pPr>
        <w:pStyle w:val="Heading1"/>
      </w:pPr>
      <w:r>
        <w:t>Subjects and Sessions</w:t>
      </w:r>
    </w:p>
    <w:p>
      <w:r>
        <w:t>Data comprise 6 Neuropixels olfactory-bulb (OB) recording sessions, one animal per session, recorded on the following dates: 2021-11-01, 2021-11-03, 2021-12-15, 2022-05-17, 2022-06-24, 2022-09-14.</w:t>
      </w:r>
    </w:p>
    <w:p>
      <w:pPr>
        <w:pStyle w:val="Heading1"/>
      </w:pPr>
      <w:r>
        <w:t>Data Acquisition</w:t>
      </w:r>
    </w:p>
    <w:p>
      <w:r>
        <w:t>Neuropixels recordings were made from olfactory bulb (OB). Behavior was controlled and timestamped by a LabView acquisition system, which recorded the following synchronized signals: SNF (raw sniff-sensor pressure trace, ~125 Hz), ETH (ethanol sensor trace, normalized 0-1), TR (LabView trial register, integer trial index per sample), and TS (within-trial timestamp in milliseconds, TS = 0 at trial start).</w:t>
      </w:r>
    </w:p>
    <w:p>
      <w:pPr>
        <w:pStyle w:val="Heading1"/>
      </w:pPr>
      <w:r>
        <w:t>Trial Selection and Segmentation</w:t>
      </w:r>
    </w:p>
    <w:p>
      <w:r>
        <w:t>Only odd TR values were treated as valid LabView trials; even TR values (inter-trial intervals) were excluded from all analyses and figures. Contiguous samples sharing the same odd TR value were segmented into a trial spanning TS = 0-40 s, with the first (corrupted) TS sample of each trial corrected to 0. Duplicate TS samples arising from a data-acquisition artifact were identified and removed prior to trial segmentation (see Deviations, below).</w:t>
      </w:r>
    </w:p>
    <w:p>
      <w:pPr>
        <w:pStyle w:val="Heading1"/>
      </w:pPr>
      <w:r>
        <w:t>Sniff Rate Computation</w:t>
      </w:r>
    </w:p>
    <w:p>
      <w:r>
        <w:t>Instantaneous sniff rate was computed from the raw SNF trace exclusively (never from LFP, per PROH-001). The SNF trace was passed through a 21-tap FIR lowpass filter (40 Hz cutoff, Hamming window) applied with zero-phase filtering (filtfilt), then z-scored (ddof = 1). Sniff onsets were detected as downward zero-crossings of the z-scored trace at a threshold of -0.5, with a minimum inter-sniff-interval (MIN_ISI) rejection criterion applied to exclude spuriously close onsets. Instantaneous sniff rate at each LabView sample was obtained by interpolating 1/ISI (inverse inter-onset interval) to the LabView sample times.</w:t>
      </w:r>
    </w:p>
    <w:p>
      <w:pPr>
        <w:pStyle w:val="Heading1"/>
      </w:pPr>
      <w:r>
        <w:t>Unit Inclusion Criteria</w:t>
      </w:r>
    </w:p>
    <w:p>
      <w:r>
        <w:t>OB units were included in firing-rate analyses only if they met both of the following criteria simultaneously, computed over the entire session: overall mean firing rate &gt;= 0.1 Hz, and total spike count &gt;= 5000. Per-session unit counts (units recorded and units meeting inclusion criteria) are as follows: 2021-11-01 — 261 recorded, 192 included; 2021-11-03 — 658 recorded, 313 included; 2021-12-15 — 293 recorded, 183 included; 2022-05-17 — 113 recorded, 99 included; 2022-06-24 — 374 recorded, 175 included; 2022-09-14 — 379 recorded, 150 included.</w:t>
      </w:r>
    </w:p>
    <w:p>
      <w:pPr>
        <w:pStyle w:val="Heading1"/>
      </w:pPr>
      <w:r>
        <w:t>Ethanol Contact Detection</w:t>
      </w:r>
    </w:p>
    <w:p>
      <w:r>
        <w:t>Ethanol contact events were detected from the ETH sensor trace after subtracting the mean of the entire session-wide ETH trace, thresholded strictly greater than 0.05 (fixed rule, applied identically to all sessions, no per-experiment adjustment). A discrete contact event was defined as a contiguous run of samples above this threshold. For the sniff-rate comparison (CON-003, below), the first discrete ETH contact event within each LabView trial was used.</w:t>
      </w:r>
    </w:p>
    <w:p>
      <w:pPr>
        <w:pStyle w:val="Heading1"/>
      </w:pPr>
      <w:r>
        <w:t>Statistical Test (CON-003)</w:t>
      </w:r>
    </w:p>
    <w:p>
      <w:r>
        <w:t>For each LabView trial, mean instantaneous sniff rate was computed within (a) the first discrete ETH contact period and (b) the pre-valve control window (TS = 0-10 s, excluding any samples overlapping a contact event). These per-trial means were averaged within each session/animal to yield one contact-period mean and one control-period mean per animal (n = 6 animals). The two-sided exact Wilcoxon signed-rank test (scipy.stats.wilcoxon, method='exact', zero_method='wilcox') was applied to the 6 paired per-animal means. Matched-pairs rank-biserial r was computed as r = (W+ - W-)/(W+ + W-) as the effect size. The significance threshold was set at alpha = 0.05.</w:t>
      </w:r>
    </w:p>
    <w:p>
      <w:pPr>
        <w:pStyle w:val="Heading1"/>
      </w:pPr>
      <w:r>
        <w:t>Deviations</w:t>
      </w:r>
    </w:p>
    <w:p>
      <w:r>
        <w:t>DEV-001: during implementation, TS sample duplication was detected within the trial-segmentation procedure (repeated TS values arising from a startup artifact in one session), which caused per-trial sample counts to be inflated. This was corrected by detecting TS resets within each odd-TR block and removing duplicate TS samples prior to extracting the 0-40 s trial window. This deviation was reviewed and resolved prior to analysis finalization; all reported results reflect the corrected trial segmentation.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