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NP-DEMO-4: Results</w:t>
      </w:r>
    </w:p>
    <w:p>
      <w:pPr>
        <w:pStyle w:val="Heading1"/>
      </w:pPr>
      <w:r>
        <w:t>Per-Session Summary</w:t>
      </w:r>
    </w:p>
    <w:p>
      <w:r>
        <w:t>Table 1 summarizes, per session, the number of LabView trials analyzed, the number of OB units recorded and included, and the average number of sniff onsets and discrete ethanol contact events per trial.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Session</w:t>
            </w:r>
          </w:p>
        </w:tc>
        <w:tc>
          <w:tcPr>
            <w:tcW w:type="dxa" w:w="1440"/>
          </w:tcPr>
          <w:p>
            <w:r>
              <w:t>N LabView trials</w:t>
            </w:r>
          </w:p>
        </w:tc>
        <w:tc>
          <w:tcPr>
            <w:tcW w:type="dxa" w:w="1440"/>
          </w:tcPr>
          <w:p>
            <w:r>
              <w:t>N units recorded</w:t>
            </w:r>
          </w:p>
        </w:tc>
        <w:tc>
          <w:tcPr>
            <w:tcW w:type="dxa" w:w="1440"/>
          </w:tcPr>
          <w:p>
            <w:r>
              <w:t>N units included</w:t>
            </w:r>
          </w:p>
        </w:tc>
        <w:tc>
          <w:tcPr>
            <w:tcW w:type="dxa" w:w="1440"/>
          </w:tcPr>
          <w:p>
            <w:r>
              <w:t>Avg. sniffs / trial</w:t>
            </w:r>
          </w:p>
        </w:tc>
        <w:tc>
          <w:tcPr>
            <w:tcW w:type="dxa" w:w="1440"/>
          </w:tcPr>
          <w:p>
            <w:r>
              <w:t>Avg. ETH contacts / trial</w:t>
            </w:r>
          </w:p>
        </w:tc>
      </w:tr>
      <w:tr>
        <w:tc>
          <w:tcPr>
            <w:tcW w:type="dxa" w:w="1440"/>
          </w:tcPr>
          <w:p>
            <w:r>
              <w:t>2021-11-01</w:t>
            </w:r>
          </w:p>
        </w:tc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261</w:t>
            </w:r>
          </w:p>
        </w:tc>
        <w:tc>
          <w:tcPr>
            <w:tcW w:type="dxa" w:w="1440"/>
          </w:tcPr>
          <w:p>
            <w:r>
              <w:t>192</w:t>
            </w:r>
          </w:p>
        </w:tc>
        <w:tc>
          <w:tcPr>
            <w:tcW w:type="dxa" w:w="1440"/>
          </w:tcPr>
          <w:p>
            <w:r>
              <w:t>155.69</w:t>
            </w:r>
          </w:p>
        </w:tc>
        <w:tc>
          <w:tcPr>
            <w:tcW w:type="dxa" w:w="1440"/>
          </w:tcPr>
          <w:p>
            <w:r>
              <w:t>40.02</w:t>
            </w:r>
          </w:p>
        </w:tc>
      </w:tr>
      <w:tr>
        <w:tc>
          <w:tcPr>
            <w:tcW w:type="dxa" w:w="1440"/>
          </w:tcPr>
          <w:p>
            <w:r>
              <w:t>2021-11-03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658</w:t>
            </w:r>
          </w:p>
        </w:tc>
        <w:tc>
          <w:tcPr>
            <w:tcW w:type="dxa" w:w="1440"/>
          </w:tcPr>
          <w:p>
            <w:r>
              <w:t>313</w:t>
            </w:r>
          </w:p>
        </w:tc>
        <w:tc>
          <w:tcPr>
            <w:tcW w:type="dxa" w:w="1440"/>
          </w:tcPr>
          <w:p>
            <w:r>
              <w:t>123.24</w:t>
            </w:r>
          </w:p>
        </w:tc>
        <w:tc>
          <w:tcPr>
            <w:tcW w:type="dxa" w:w="1440"/>
          </w:tcPr>
          <w:p>
            <w:r>
              <w:t>7.87</w:t>
            </w:r>
          </w:p>
        </w:tc>
      </w:tr>
      <w:tr>
        <w:tc>
          <w:tcPr>
            <w:tcW w:type="dxa" w:w="1440"/>
          </w:tcPr>
          <w:p>
            <w:r>
              <w:t>2021-12-15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293</w:t>
            </w:r>
          </w:p>
        </w:tc>
        <w:tc>
          <w:tcPr>
            <w:tcW w:type="dxa" w:w="1440"/>
          </w:tcPr>
          <w:p>
            <w:r>
              <w:t>183</w:t>
            </w:r>
          </w:p>
        </w:tc>
        <w:tc>
          <w:tcPr>
            <w:tcW w:type="dxa" w:w="1440"/>
          </w:tcPr>
          <w:p>
            <w:r>
              <w:t>99.48</w:t>
            </w:r>
          </w:p>
        </w:tc>
        <w:tc>
          <w:tcPr>
            <w:tcW w:type="dxa" w:w="1440"/>
          </w:tcPr>
          <w:p>
            <w:r>
              <w:t>18.68</w:t>
            </w:r>
          </w:p>
        </w:tc>
      </w:tr>
      <w:tr>
        <w:tc>
          <w:tcPr>
            <w:tcW w:type="dxa" w:w="1440"/>
          </w:tcPr>
          <w:p>
            <w:r>
              <w:t>2022-05-17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132.25</w:t>
            </w:r>
          </w:p>
        </w:tc>
        <w:tc>
          <w:tcPr>
            <w:tcW w:type="dxa" w:w="1440"/>
          </w:tcPr>
          <w:p>
            <w:r>
              <w:t>15.07</w:t>
            </w:r>
          </w:p>
        </w:tc>
      </w:tr>
      <w:tr>
        <w:tc>
          <w:tcPr>
            <w:tcW w:type="dxa" w:w="1440"/>
          </w:tcPr>
          <w:p>
            <w:r>
              <w:t>2022-06-24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374</w:t>
            </w:r>
          </w:p>
        </w:tc>
        <w:tc>
          <w:tcPr>
            <w:tcW w:type="dxa" w:w="1440"/>
          </w:tcPr>
          <w:p>
            <w:r>
              <w:t>175</w:t>
            </w:r>
          </w:p>
        </w:tc>
        <w:tc>
          <w:tcPr>
            <w:tcW w:type="dxa" w:w="1440"/>
          </w:tcPr>
          <w:p>
            <w:r>
              <w:t>130.70</w:t>
            </w:r>
          </w:p>
        </w:tc>
        <w:tc>
          <w:tcPr>
            <w:tcW w:type="dxa" w:w="1440"/>
          </w:tcPr>
          <w:p>
            <w:r>
              <w:t>7.80</w:t>
            </w:r>
          </w:p>
        </w:tc>
      </w:tr>
      <w:tr>
        <w:tc>
          <w:tcPr>
            <w:tcW w:type="dxa" w:w="1440"/>
          </w:tcPr>
          <w:p>
            <w:r>
              <w:t>2022-09-14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379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144.35</w:t>
            </w:r>
          </w:p>
        </w:tc>
        <w:tc>
          <w:tcPr>
            <w:tcW w:type="dxa" w:w="1440"/>
          </w:tcPr>
          <w:p>
            <w:r>
              <w:t>7.30</w:t>
            </w:r>
          </w:p>
        </w:tc>
      </w:tr>
    </w:tbl>
    <w:p/>
    <w:p>
      <w:pPr>
        <w:pStyle w:val="Heading1"/>
      </w:pPr>
      <w:r>
        <w:t>Sniff Rate During Ethanol Contact vs. Control (CON-003)</w:t>
      </w:r>
    </w:p>
    <w:p>
      <w:r>
        <w:t>Per-animal mean instantaneous sniff rate during the first ethanol contact period was compared to per-animal mean sniff rate during the pre-valve control window (TS = 0-10 s) using a two-sided exact Wilcoxon signed-rank test across n = 6 animals. The test statistic was W = 7.0 (exact two-sided p = 0.5625; matched-pairs rank-biserial r = 0.3333). This difference was not statistically significant (two-sided Wilcoxon signed-rank test, exact) at alpha = 0.05.</w:t>
      </w:r>
    </w:p>
    <w:p>
      <w:pPr>
        <w:pStyle w:val="Heading1"/>
      </w:pPr>
      <w:r>
        <w:t>Per-Animal Mean Sniff Rates</w:t>
      </w:r>
    </w:p>
    <w:p>
      <w:r>
        <w:t>Table 2 lists, for each animal/session, the mean instantaneous sniff rate (Hz) during the first ethanol contact period and during the pre-valve control period (TS = 0-10 s), as entered into the Wilcoxon signed-rank test above.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Session</w:t>
            </w:r>
          </w:p>
        </w:tc>
        <w:tc>
          <w:tcPr>
            <w:tcW w:type="dxa" w:w="2880"/>
          </w:tcPr>
          <w:p>
            <w:r>
              <w:t>Contact mean sniff rate (Hz)</w:t>
            </w:r>
          </w:p>
        </w:tc>
        <w:tc>
          <w:tcPr>
            <w:tcW w:type="dxa" w:w="2880"/>
          </w:tcPr>
          <w:p>
            <w:r>
              <w:t>Control mean sniff rate (Hz)</w:t>
            </w:r>
          </w:p>
        </w:tc>
      </w:tr>
      <w:tr>
        <w:tc>
          <w:tcPr>
            <w:tcW w:type="dxa" w:w="2880"/>
          </w:tcPr>
          <w:p>
            <w:r>
              <w:t>2021-11-01</w:t>
            </w:r>
          </w:p>
        </w:tc>
        <w:tc>
          <w:tcPr>
            <w:tcW w:type="dxa" w:w="2880"/>
          </w:tcPr>
          <w:p>
            <w:r>
              <w:t>4.1769</w:t>
            </w:r>
          </w:p>
        </w:tc>
        <w:tc>
          <w:tcPr>
            <w:tcW w:type="dxa" w:w="2880"/>
          </w:tcPr>
          <w:p>
            <w:r>
              <w:t>3.8770</w:t>
            </w:r>
          </w:p>
        </w:tc>
      </w:tr>
      <w:tr>
        <w:tc>
          <w:tcPr>
            <w:tcW w:type="dxa" w:w="2880"/>
          </w:tcPr>
          <w:p>
            <w:r>
              <w:t>2021-11-03</w:t>
            </w:r>
          </w:p>
        </w:tc>
        <w:tc>
          <w:tcPr>
            <w:tcW w:type="dxa" w:w="2880"/>
          </w:tcPr>
          <w:p>
            <w:r>
              <w:t>3.0332</w:t>
            </w:r>
          </w:p>
        </w:tc>
        <w:tc>
          <w:tcPr>
            <w:tcW w:type="dxa" w:w="2880"/>
          </w:tcPr>
          <w:p>
            <w:r>
              <w:t>3.0944</w:t>
            </w:r>
          </w:p>
        </w:tc>
      </w:tr>
      <w:tr>
        <w:tc>
          <w:tcPr>
            <w:tcW w:type="dxa" w:w="2880"/>
          </w:tcPr>
          <w:p>
            <w:r>
              <w:t>2021-12-15</w:t>
            </w:r>
          </w:p>
        </w:tc>
        <w:tc>
          <w:tcPr>
            <w:tcW w:type="dxa" w:w="2880"/>
          </w:tcPr>
          <w:p>
            <w:r>
              <w:t>5.3323</w:t>
            </w:r>
          </w:p>
        </w:tc>
        <w:tc>
          <w:tcPr>
            <w:tcW w:type="dxa" w:w="2880"/>
          </w:tcPr>
          <w:p>
            <w:r>
              <w:t>5.2319</w:t>
            </w:r>
          </w:p>
        </w:tc>
      </w:tr>
      <w:tr>
        <w:tc>
          <w:tcPr>
            <w:tcW w:type="dxa" w:w="2880"/>
          </w:tcPr>
          <w:p>
            <w:r>
              <w:t>2022-05-17</w:t>
            </w:r>
          </w:p>
        </w:tc>
        <w:tc>
          <w:tcPr>
            <w:tcW w:type="dxa" w:w="2880"/>
          </w:tcPr>
          <w:p>
            <w:r>
              <w:t>2.9863</w:t>
            </w:r>
          </w:p>
        </w:tc>
        <w:tc>
          <w:tcPr>
            <w:tcW w:type="dxa" w:w="2880"/>
          </w:tcPr>
          <w:p>
            <w:r>
              <w:t>3.2428</w:t>
            </w:r>
          </w:p>
        </w:tc>
      </w:tr>
      <w:tr>
        <w:tc>
          <w:tcPr>
            <w:tcW w:type="dxa" w:w="2880"/>
          </w:tcPr>
          <w:p>
            <w:r>
              <w:t>2022-06-24</w:t>
            </w:r>
          </w:p>
        </w:tc>
        <w:tc>
          <w:tcPr>
            <w:tcW w:type="dxa" w:w="2880"/>
          </w:tcPr>
          <w:p>
            <w:r>
              <w:t>3.2406</w:t>
            </w:r>
          </w:p>
        </w:tc>
        <w:tc>
          <w:tcPr>
            <w:tcW w:type="dxa" w:w="2880"/>
          </w:tcPr>
          <w:p>
            <w:r>
              <w:t>3.2389</w:t>
            </w:r>
          </w:p>
        </w:tc>
      </w:tr>
      <w:tr>
        <w:tc>
          <w:tcPr>
            <w:tcW w:type="dxa" w:w="2880"/>
          </w:tcPr>
          <w:p>
            <w:r>
              <w:t>2022-09-14</w:t>
            </w:r>
          </w:p>
        </w:tc>
        <w:tc>
          <w:tcPr>
            <w:tcW w:type="dxa" w:w="2880"/>
          </w:tcPr>
          <w:p>
            <w:r>
              <w:t>3.6426</w:t>
            </w:r>
          </w:p>
        </w:tc>
        <w:tc>
          <w:tcPr>
            <w:tcW w:type="dxa" w:w="2880"/>
          </w:tcPr>
          <w:p>
            <w:r>
              <w:t>3.5776</w:t>
            </w:r>
          </w:p>
        </w:tc>
      </w:tr>
    </w:tbl>
    <w:p/>
    <w:p>
      <w:pPr>
        <w:pStyle w:val="Heading1"/>
      </w:pPr>
      <w:r>
        <w:t>Figures</w:t>
      </w:r>
    </w:p>
    <w:p>
      <w:pPr>
        <w:pStyle w:val="Heading2"/>
      </w:pPr>
      <w:r>
        <w:t>Figure 1: Sniff rate within each trial</w:t>
      </w:r>
    </w:p>
    <w:p>
      <w:r>
        <w:t>Panel 1: heatmap of instantaneous sniff rate (Hz; colorbar labeled "sniff rate (Hz)", jet colormap) for 324 LabView trials pooled across 6 sessions, one row per trial, time from trial start (0-40 s) on the x-axis. Panel 2: sniff rate averaged across all trials, with a shaded band showing the 95% CI computed as mean +/- 1.96 * SEM across all 324 trials.</w:t>
      </w:r>
    </w:p>
    <w:p>
      <w:pPr>
        <w:pStyle w:val="Heading2"/>
      </w:pPr>
      <w:r>
        <w:t>Figure 2: Firing rate within each trial</w:t>
      </w:r>
    </w:p>
    <w:p>
      <w:r>
        <w:t>Panel 1: heatmap of average OB population firing rate (Hz; colorbar labeled "firing rate (Hz)", jet colormap), averaged across included units, for each of 324 LabView trials pooled across 6 sessions. Units were included only if overall firing rate &gt;= 0.1 Hz and total spike count &gt;= 5000. Per-session included unit counts: 2021-11-01: 192; 2021-11-03: 313; 2021-12-15: 183; 2022-05-17: 99; 2022-06-24: 175; 2022-09-14: 150. Panel 2: population firing rate averaged across all trials, with a shaded band showing the 95% CI computed as mean +/- 1.96 * SEM across all 324 trials.</w:t>
      </w:r>
    </w:p>
    <w:p>
      <w:pPr>
        <w:pStyle w:val="Heading2"/>
      </w:pPr>
      <w:r>
        <w:t>Figure 3: Ethanol sensor value within each trial</w:t>
      </w:r>
    </w:p>
    <w:p>
      <w:r>
        <w:t>Panel 1: heatmap of the raw (pre-mean-subtraction) ethanol sensor value (colorbar labeled "ETH sensor value (a.u., normalized 0-1)", jet colormap), per CON-002, for each of 324 LabView trials pooled across 6 sessions. Panel 2: raw ETH sensor value averaged across all trials, with a shaded band showing the 95% CI computed as mean +/- 1.96 * SEM across all 324 trials.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