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aps/>
          <w:color w:val="1F4E79"/>
          <w:sz w:val="20"/>
          <w:szCs w:val="20"/>
        </w:rPr>
        <w:t xml:space="preserve">research_workflow REQUEST</w:t>
      </w:r>
    </w:p>
    <w:p>
      <w:pPr>
        <w:pBdr>
          <w:bottom w:val="single" w:color="1F4E79" w:sz="12" w:space="6"/>
        </w:pBdr>
        <w:spacing w:after="40"/>
      </w:pPr>
      <w:r>
        <w:rPr>
          <w:b/>
          <w:bCs/>
          <w:color w:val="000000"/>
          <w:sz w:val="34"/>
          <w:szCs w:val="34"/>
        </w:rPr>
        <w:t xml:space="preserve">NP-PAPER-1  —  LFP–sniff coherence across olfactory-bulb depth</w:t>
      </w:r>
    </w:p>
    <w:p>
      <w:pPr>
        <w:spacing w:after="60" w:before="80"/>
      </w:pPr>
      <w:r>
        <w:rPr>
          <w:i/>
          <w:iCs/>
          <w:color w:val="444444"/>
          <w:sz w:val="22"/>
          <w:szCs w:val="22"/>
        </w:rPr>
        <w:t xml:space="preserve">Which depth along the Neuropixels probe best aligns the OB local field potential to sniffing, and does the strength of that alignment vary with depth? A per-depth replication of Rafilson et al. (2024), Figure 1.</w:t>
      </w:r>
    </w:p>
    <w:tbl>
      <w:tblPr>
        <w:tblW w:type="dxa" w:w="9360"/>
        <w:tblBorders>
          <w:top w:val="none"/>
          <w:left w:val="none"/>
          <w:bottom w:val="none"/>
          <w:right w:val="none"/>
          <w:insideH w:val="none"/>
          <w:insideV w:val="none"/>
        </w:tblBorders>
      </w:tblPr>
      <w:tblGrid>
        <w:gridCol w:w="1900"/>
        <w:gridCol w:w="7460"/>
      </w:tblGrid>
      <w:tr>
        <w:tc>
          <w:tcPr>
            <w:tcW w:type="dxa" w:w="1900"/>
            <w:tcBorders>
              <w:top w:val="none"/>
              <w:left w:val="none"/>
              <w:bottom w:val="none"/>
              <w:right w:val="none"/>
            </w:tcBorders>
            <w:tcMar>
              <w:top w:type="dxa" w:w="30"/>
              <w:left w:type="dxa" w:w="0"/>
              <w:bottom w:type="dxa" w:w="30"/>
              <w:right w:type="dxa" w:w="80"/>
            </w:tcMar>
          </w:tcPr>
          <w:p>
            <w:pPr>
              <w:spacing w:after="20"/>
            </w:pPr>
            <w:r>
              <w:rPr>
                <w:b/>
                <w:bCs/>
                <w:color w:val="1F4E79"/>
                <w:sz w:val="18"/>
                <w:szCs w:val="18"/>
              </w:rPr>
              <w:t xml:space="preserve">Task ID</w:t>
            </w:r>
          </w:p>
        </w:tc>
        <w:tc>
          <w:tcPr>
            <w:tcW w:type="dxa" w:w="7460"/>
            <w:tcBorders>
              <w:top w:val="none"/>
              <w:left w:val="none"/>
              <w:bottom w:val="none"/>
              <w:right w:val="none"/>
            </w:tcBorders>
            <w:tcMar>
              <w:top w:type="dxa" w:w="30"/>
              <w:left w:type="dxa" w:w="0"/>
              <w:bottom w:type="dxa" w:w="30"/>
              <w:right w:type="dxa" w:w="0"/>
            </w:tcMar>
          </w:tcPr>
          <w:p>
            <w:pPr>
              <w:spacing w:after="20"/>
            </w:pPr>
            <w:r>
              <w:rPr>
                <w:sz w:val="18"/>
                <w:szCs w:val="18"/>
              </w:rPr>
              <w:t xml:space="preserve">NP-PAPER-1</w:t>
            </w:r>
          </w:p>
        </w:tc>
      </w:tr>
      <w:tr>
        <w:tc>
          <w:tcPr>
            <w:tcW w:type="dxa" w:w="1900"/>
            <w:tcBorders>
              <w:top w:val="none"/>
              <w:left w:val="none"/>
              <w:bottom w:val="none"/>
              <w:right w:val="none"/>
            </w:tcBorders>
            <w:tcMar>
              <w:top w:type="dxa" w:w="30"/>
              <w:left w:type="dxa" w:w="0"/>
              <w:bottom w:type="dxa" w:w="30"/>
              <w:right w:type="dxa" w:w="80"/>
            </w:tcMar>
          </w:tcPr>
          <w:p>
            <w:pPr>
              <w:spacing w:after="20"/>
            </w:pPr>
            <w:r>
              <w:rPr>
                <w:b/>
                <w:bCs/>
                <w:color w:val="1F4E79"/>
                <w:sz w:val="18"/>
                <w:szCs w:val="18"/>
              </w:rPr>
              <w:t xml:space="preserve">Requested by</w:t>
            </w:r>
          </w:p>
        </w:tc>
        <w:tc>
          <w:tcPr>
            <w:tcW w:type="dxa" w:w="7460"/>
            <w:tcBorders>
              <w:top w:val="none"/>
              <w:left w:val="none"/>
              <w:bottom w:val="none"/>
              <w:right w:val="none"/>
            </w:tcBorders>
            <w:tcMar>
              <w:top w:type="dxa" w:w="30"/>
              <w:left w:type="dxa" w:w="0"/>
              <w:bottom w:type="dxa" w:w="30"/>
              <w:right w:type="dxa" w:w="0"/>
            </w:tcMar>
          </w:tcPr>
          <w:p>
            <w:pPr>
              <w:spacing w:after="20"/>
            </w:pPr>
            <w:r>
              <w:rPr>
                <w:sz w:val="18"/>
                <w:szCs w:val="18"/>
              </w:rPr>
              <w:t xml:space="preserve">David Gire</w:t>
            </w:r>
          </w:p>
        </w:tc>
      </w:tr>
      <w:tr>
        <w:tc>
          <w:tcPr>
            <w:tcW w:type="dxa" w:w="1900"/>
            <w:tcBorders>
              <w:top w:val="none"/>
              <w:left w:val="none"/>
              <w:bottom w:val="none"/>
              <w:right w:val="none"/>
            </w:tcBorders>
            <w:tcMar>
              <w:top w:type="dxa" w:w="30"/>
              <w:left w:type="dxa" w:w="0"/>
              <w:bottom w:type="dxa" w:w="30"/>
              <w:right w:type="dxa" w:w="80"/>
            </w:tcMar>
          </w:tcPr>
          <w:p>
            <w:pPr>
              <w:spacing w:after="20"/>
            </w:pPr>
            <w:r>
              <w:rPr>
                <w:b/>
                <w:bCs/>
                <w:color w:val="1F4E79"/>
                <w:sz w:val="18"/>
                <w:szCs w:val="18"/>
              </w:rPr>
              <w:t xml:space="preserve">Source paper</w:t>
            </w:r>
          </w:p>
        </w:tc>
        <w:tc>
          <w:tcPr>
            <w:tcW w:type="dxa" w:w="7460"/>
            <w:tcBorders>
              <w:top w:val="none"/>
              <w:left w:val="none"/>
              <w:bottom w:val="none"/>
              <w:right w:val="none"/>
            </w:tcBorders>
            <w:tcMar>
              <w:top w:type="dxa" w:w="30"/>
              <w:left w:type="dxa" w:w="0"/>
              <w:bottom w:type="dxa" w:w="30"/>
              <w:right w:type="dxa" w:w="0"/>
            </w:tcMar>
          </w:tcPr>
          <w:p>
            <w:pPr>
              <w:spacing w:after="20"/>
            </w:pPr>
            <w:r>
              <w:rPr>
                <w:sz w:val="18"/>
                <w:szCs w:val="18"/>
              </w:rPr>
              <w:t xml:space="preserve">Rafilson, Gonzales Hess, Findley &amp; Smear (2024). Challenges in inferring breathing rhythms from olfactory bulb local field potentials. Chem Senses 50: bjaf026.</w:t>
            </w:r>
          </w:p>
        </w:tc>
      </w:tr>
      <w:tr>
        <w:tc>
          <w:tcPr>
            <w:tcW w:type="dxa" w:w="1900"/>
            <w:tcBorders>
              <w:top w:val="none"/>
              <w:left w:val="none"/>
              <w:bottom w:val="none"/>
              <w:right w:val="none"/>
            </w:tcBorders>
            <w:tcMar>
              <w:top w:type="dxa" w:w="30"/>
              <w:left w:type="dxa" w:w="0"/>
              <w:bottom w:type="dxa" w:w="30"/>
              <w:right w:type="dxa" w:w="80"/>
            </w:tcMar>
          </w:tcPr>
          <w:p>
            <w:pPr>
              <w:spacing w:after="20"/>
            </w:pPr>
            <w:r>
              <w:rPr>
                <w:b/>
                <w:bCs/>
                <w:color w:val="1F4E79"/>
                <w:sz w:val="18"/>
                <w:szCs w:val="18"/>
              </w:rPr>
              <w:t xml:space="preserve">Replicates</w:t>
            </w:r>
          </w:p>
        </w:tc>
        <w:tc>
          <w:tcPr>
            <w:tcW w:type="dxa" w:w="7460"/>
            <w:tcBorders>
              <w:top w:val="none"/>
              <w:left w:val="none"/>
              <w:bottom w:val="none"/>
              <w:right w:val="none"/>
            </w:tcBorders>
            <w:tcMar>
              <w:top w:type="dxa" w:w="30"/>
              <w:left w:type="dxa" w:w="0"/>
              <w:bottom w:type="dxa" w:w="30"/>
              <w:right w:type="dxa" w:w="0"/>
            </w:tcMar>
          </w:tcPr>
          <w:p>
            <w:pPr>
              <w:spacing w:after="20"/>
            </w:pPr>
            <w:r>
              <w:rPr>
                <w:sz w:val="18"/>
                <w:szCs w:val="18"/>
              </w:rPr>
              <w:t xml:space="preserve">Figure 1 (spectral analysis: LFP power spectra, sniff power spectra, and LFP–sniff spectral coherence), computed independently at 5 depths along the probe within each experiment.</w:t>
            </w:r>
          </w:p>
        </w:tc>
      </w:tr>
      <w:tr>
        <w:tc>
          <w:tcPr>
            <w:tcW w:type="dxa" w:w="1900"/>
            <w:tcBorders>
              <w:top w:val="none"/>
              <w:left w:val="none"/>
              <w:bottom w:val="none"/>
              <w:right w:val="none"/>
            </w:tcBorders>
            <w:tcMar>
              <w:top w:type="dxa" w:w="30"/>
              <w:left w:type="dxa" w:w="0"/>
              <w:bottom w:type="dxa" w:w="30"/>
              <w:right w:type="dxa" w:w="80"/>
            </w:tcMar>
          </w:tcPr>
          <w:p>
            <w:pPr>
              <w:spacing w:after="20"/>
            </w:pPr>
            <w:r>
              <w:rPr>
                <w:b/>
                <w:bCs/>
                <w:color w:val="1F4E79"/>
                <w:sz w:val="18"/>
                <w:szCs w:val="18"/>
              </w:rPr>
              <w:t xml:space="preserve">Risk tier</w:t>
            </w:r>
          </w:p>
        </w:tc>
        <w:tc>
          <w:tcPr>
            <w:tcW w:type="dxa" w:w="7460"/>
            <w:tcBorders>
              <w:top w:val="none"/>
              <w:left w:val="none"/>
              <w:bottom w:val="none"/>
              <w:right w:val="none"/>
            </w:tcBorders>
            <w:tcMar>
              <w:top w:type="dxa" w:w="30"/>
              <w:left w:type="dxa" w:w="0"/>
              <w:bottom w:type="dxa" w:w="30"/>
              <w:right w:type="dxa" w:w="0"/>
            </w:tcMar>
          </w:tcPr>
          <w:p>
            <w:pPr>
              <w:spacing w:after="20"/>
            </w:pPr>
            <w:r>
              <w:rPr>
                <w:sz w:val="18"/>
                <w:szCs w:val="18"/>
              </w:rPr>
              <w:t xml:space="preserve">Red (raw Neuropixels recordings; new spectral-coherence analysis code).</w:t>
            </w:r>
          </w:p>
        </w:tc>
      </w:tr>
      <w:tr>
        <w:tc>
          <w:tcPr>
            <w:tcW w:type="dxa" w:w="1900"/>
            <w:tcBorders>
              <w:top w:val="none"/>
              <w:left w:val="none"/>
              <w:bottom w:val="none"/>
              <w:right w:val="none"/>
            </w:tcBorders>
            <w:tcMar>
              <w:top w:type="dxa" w:w="30"/>
              <w:left w:type="dxa" w:w="0"/>
              <w:bottom w:type="dxa" w:w="30"/>
              <w:right w:type="dxa" w:w="80"/>
            </w:tcMar>
          </w:tcPr>
          <w:p>
            <w:pPr>
              <w:spacing w:after="20"/>
            </w:pPr>
            <w:r>
              <w:rPr>
                <w:b/>
                <w:bCs/>
                <w:color w:val="1F4E79"/>
                <w:sz w:val="18"/>
                <w:szCs w:val="18"/>
              </w:rPr>
              <w:t xml:space="preserve">Scientific status</w:t>
            </w:r>
          </w:p>
        </w:tc>
        <w:tc>
          <w:tcPr>
            <w:tcW w:type="dxa" w:w="7460"/>
            <w:tcBorders>
              <w:top w:val="none"/>
              <w:left w:val="none"/>
              <w:bottom w:val="none"/>
              <w:right w:val="none"/>
            </w:tcBorders>
            <w:tcMar>
              <w:top w:type="dxa" w:w="30"/>
              <w:left w:type="dxa" w:w="0"/>
              <w:bottom w:type="dxa" w:w="30"/>
              <w:right w:type="dxa" w:w="0"/>
            </w:tcMar>
          </w:tcPr>
          <w:p>
            <w:pPr>
              <w:spacing w:after="20"/>
            </w:pPr>
            <w:r>
              <w:rPr>
                <w:sz w:val="18"/>
                <w:szCs w:val="18"/>
              </w:rPr>
              <w:t xml:space="preserve">Confirmatory for the coherence computation (a published method); exploratory for the depth-dependence question (new).</w:t>
            </w:r>
          </w:p>
        </w:tc>
      </w:tr>
    </w:tbl>
    <w:p>
      <w:pPr>
        <w:pStyle w:val="Heading1"/>
        <w:spacing w:after="120" w:before="260"/>
      </w:pPr>
      <w:r>
        <w:rPr>
          <w:b/>
          <w:bCs/>
          <w:color w:val="1F4E79"/>
          <w:sz w:val="28"/>
          <w:szCs w:val="28"/>
        </w:rPr>
        <w:t xml:space="preserve">1. Scientific question and goal</w:t>
      </w:r>
    </w:p>
    <w:p>
      <w:pPr>
        <w:spacing w:after="120" w:line="276"/>
        <w:jc w:val="both"/>
      </w:pPr>
      <w:r>
        <w:t xml:space="preserve">Rafilson et al. (2024) show that olfactory-bulb (OB) local field potentials cohere with respiration, most strongly in the theta band (2–12 Hz), and use spectral coherence between an LFP channel and the sniff (thermistor) signal as the measure of how well the LFP is aligned to sniffing (their Figure 1). This task asks the same question as a function of </w:t>
      </w:r>
      <w:r>
        <w:rPr>
          <w:b/>
          <w:bCs/>
        </w:rPr>
        <w:t xml:space="preserve">recording depth along the Neuropixels probe</w:t>
      </w:r>
      <w:r>
        <w:t xml:space="preserve">. For each experiment, we compute the LFP–sniff spectral coherence independently at five evenly-spaced depths, then ask two things: (1) </w:t>
      </w:r>
      <w:r>
        <w:rPr>
          <w:b/>
          <w:bCs/>
        </w:rPr>
        <w:t xml:space="preserve">which depth aligns best with sniffing</w:t>
      </w:r>
      <w:r>
        <w:t xml:space="preserve"> — i.e. which depth has the strongest LFP–sniff coherence in the theta band, the paper's measure of alignment; and (2) </w:t>
      </w:r>
      <w:r>
        <w:rPr>
          <w:b/>
          <w:bCs/>
        </w:rPr>
        <w:t xml:space="preserve">whether the ability to align the LFP to sniffing varies systematically with depth</w:t>
      </w:r>
      <w:r>
        <w:t xml:space="preserve">, tested across experiments.</w:t>
      </w:r>
    </w:p>
    <w:p>
      <w:pPr>
        <w:spacing w:after="120" w:line="276"/>
        <w:jc w:val="both"/>
      </w:pPr>
      <w:r>
        <w:rPr>
          <w:b/>
          <w:bCs/>
        </w:rPr>
        <w:t xml:space="preserve">Note on signal roles. </w:t>
      </w:r>
      <w:r>
        <w:t xml:space="preserve">Unlike the lab's spike phase-locking tasks (NP-DEMO-2/3), which deliberately avoid the LFP, this task </w:t>
      </w:r>
      <w:r>
        <w:rPr>
          <w:i/>
          <w:iCs/>
        </w:rPr>
        <w:t xml:space="preserve">intentionally analyzes the LFP</w:t>
      </w:r>
      <w:r>
        <w:t xml:space="preserve"> as the neural signal and uses the SNF sniff-sensor trace as the respiratory reference — exactly the two signals whose coherence Figure 1 quantifies. The "SNF-not-LFP" prohibition from the phase-locking family therefore does not apply here.</w:t>
      </w:r>
    </w:p>
    <w:p>
      <w:pPr>
        <w:pStyle w:val="Heading1"/>
        <w:spacing w:after="120" w:before="260"/>
      </w:pPr>
      <w:r>
        <w:rPr>
          <w:b/>
          <w:bCs/>
          <w:color w:val="1F4E79"/>
          <w:sz w:val="28"/>
          <w:szCs w:val="28"/>
        </w:rPr>
        <w:t xml:space="preserve">2. What is being replicated (Figure 1)</w:t>
      </w:r>
    </w:p>
    <w:p>
      <w:pPr>
        <w:spacing w:after="120" w:line="276"/>
        <w:jc w:val="both"/>
      </w:pPr>
      <w:r>
        <w:t xml:space="preserve">Figure 1 of the paper ("Spectral analysis reveals coherence between LFPs and sniffing") has five panels. Each is reproduced here, per depth where the panel is depth-specific:</w:t>
      </w:r>
    </w:p>
    <w:p>
      <w:pPr>
        <w:pStyle w:val="ListParagraph"/>
        <w:numPr>
          <w:ilvl w:val="0"/>
          <w:numId w:val="2"/>
        </w:numPr>
        <w:spacing w:after="70" w:line="264"/>
      </w:pPr>
      <w:r>
        <w:rPr>
          <w:b/>
          <w:bCs/>
        </w:rPr>
        <w:t xml:space="preserve">1A — Example band-filtered traces. </w:t>
      </w:r>
      <w:r>
        <w:t xml:space="preserve">The sniff signal on top; below it the LFP shown unfiltered and band-filtered into theta (2–12 Hz), beta (18–30 Hz), and gamma (65–100 Hz, plus its amplitude envelope). Traces are colored green during inhalation and black during exhalation/pause.</w:t>
      </w:r>
    </w:p>
    <w:p>
      <w:pPr>
        <w:pStyle w:val="ListParagraph"/>
        <w:numPr>
          <w:ilvl w:val="0"/>
          <w:numId w:val="2"/>
        </w:numPr>
        <w:spacing w:after="70" w:line="264"/>
      </w:pPr>
      <w:r>
        <w:rPr>
          <w:b/>
          <w:bCs/>
        </w:rPr>
        <w:t xml:space="preserve">1B — LFP power spectral density. </w:t>
      </w:r>
      <w:r>
        <w:t xml:space="preserve">The LFP power spectrum, with the theta, beta, and gamma bands marked.</w:t>
      </w:r>
    </w:p>
    <w:p>
      <w:pPr>
        <w:pStyle w:val="ListParagraph"/>
        <w:numPr>
          <w:ilvl w:val="0"/>
          <w:numId w:val="2"/>
        </w:numPr>
        <w:spacing w:after="70" w:line="264"/>
      </w:pPr>
      <w:r>
        <w:rPr>
          <w:b/>
          <w:bCs/>
        </w:rPr>
        <w:t xml:space="preserve">1C — Time-frequency spectrograms. </w:t>
      </w:r>
      <w:r>
        <w:t xml:space="preserve">Multitaper spectrograms of (top) the LFP power, (middle) the sniff-signal power, and (bottom) the LFP–sniff coherence, each with the instantaneous sniff rate overlaid as a scatter.</w:t>
      </w:r>
    </w:p>
    <w:p>
      <w:pPr>
        <w:pStyle w:val="ListParagraph"/>
        <w:numPr>
          <w:ilvl w:val="0"/>
          <w:numId w:val="2"/>
        </w:numPr>
        <w:spacing w:after="70" w:line="264"/>
      </w:pPr>
      <w:r>
        <w:rPr>
          <w:b/>
          <w:bCs/>
        </w:rPr>
        <w:t xml:space="preserve">1D — Instantaneous sniff-rate distribution. </w:t>
      </w:r>
      <w:r>
        <w:t xml:space="preserve">The distribution of instantaneous sniff rates over the recording (a property of the sniff signal, shared across depths).</w:t>
      </w:r>
    </w:p>
    <w:p>
      <w:pPr>
        <w:pStyle w:val="ListParagraph"/>
        <w:numPr>
          <w:ilvl w:val="0"/>
          <w:numId w:val="2"/>
        </w:numPr>
        <w:spacing w:after="70" w:line="264"/>
      </w:pPr>
      <w:r>
        <w:rPr>
          <w:b/>
          <w:bCs/>
        </w:rPr>
        <w:t xml:space="preserve">1E — Coherence significance. </w:t>
      </w:r>
      <w:r>
        <w:t xml:space="preserve">The observed coherence expressed as a percentile of a null distribution built from ≥1000 circular shifts of the sniff signal, with the 95% confidence threshold drawn as a red dotted line.</w:t>
      </w:r>
    </w:p>
    <w:p>
      <w:pPr>
        <w:pStyle w:val="Heading1"/>
        <w:spacing w:after="120" w:before="260"/>
      </w:pPr>
      <w:r>
        <w:rPr>
          <w:b/>
          <w:bCs/>
          <w:color w:val="1F4E79"/>
          <w:sz w:val="28"/>
          <w:szCs w:val="28"/>
        </w:rPr>
        <w:t xml:space="preserve">3. Data and recording sessions</w:t>
      </w:r>
    </w:p>
    <w:p>
      <w:pPr>
        <w:spacing w:after="120" w:line="276"/>
        <w:jc w:val="both"/>
      </w:pPr>
      <w:r>
        <w:t xml:space="preserve">Use the six ethanol-experiment recordings under the data root, </w:t>
      </w:r>
      <w:r>
        <w:rPr>
          <w:b/>
          <w:bCs/>
        </w:rPr>
        <w:t xml:space="preserve">restricted to control (non-ethanol) epochs only</w:t>
      </w:r>
      <w:r>
        <w:t xml:space="preserve"> so that ethanol contact cannot confound the baseline LFP–sniff coupling (ethanol/control detection is defined in Section 6). Each experiment is treated as one independent unit of analysis ("animal-level" grouping in the tests below), consistent with the lab convention.</w:t>
      </w:r>
    </w:p>
    <w:p>
      <w:pPr>
        <w:spacing w:after="60"/>
      </w:pPr>
    </w:p>
    <w:tbl>
      <w:tblPr>
        <w:tblW w:type="dxa" w:w="9360"/>
        <w:tblBorders>
          <w:top w:val="single" w:color="1F4E79" w:sz="4"/>
          <w:left w:val="single" w:color="1F4E79" w:sz="4"/>
          <w:bottom w:val="single" w:color="1F4E79" w:sz="4"/>
          <w:right w:val="single" w:color="1F4E79" w:sz="4"/>
          <w:insideH w:val="single" w:color="BFBFBF" w:sz="2"/>
          <w:insideV w:val="single" w:color="BFBFBF" w:sz="2"/>
        </w:tblBorders>
      </w:tblPr>
      <w:tblGrid>
        <w:gridCol w:w="1400"/>
        <w:gridCol w:w="2600"/>
        <w:gridCol w:w="5360"/>
      </w:tblGrid>
      <w:tr>
        <w:trPr>
          <w:tblHeader/>
        </w:trPr>
        <w:tc>
          <w:tcPr>
            <w:tcW w:type="dxa" w:w="1400"/>
            <w:shd w:fill="1F4E79" w:val="clear"/>
            <w:tcMar>
              <w:top w:type="dxa" w:w="40"/>
              <w:left w:type="dxa" w:w="80"/>
              <w:bottom w:type="dxa" w:w="40"/>
              <w:right w:type="dxa" w:w="80"/>
            </w:tcMar>
          </w:tcPr>
          <w:p>
            <w:pPr>
              <w:spacing w:after="20" w:before="20" w:line="252"/>
              <w:jc w:val="left"/>
            </w:pPr>
            <w:r>
              <w:rPr>
                <w:b/>
                <w:bCs/>
                <w:color w:val="FFFFFF"/>
                <w:sz w:val="18"/>
                <w:szCs w:val="18"/>
              </w:rPr>
              <w:t xml:space="preserve">#</w:t>
            </w:r>
          </w:p>
        </w:tc>
        <w:tc>
          <w:tcPr>
            <w:tcW w:type="dxa" w:w="2600"/>
            <w:shd w:fill="1F4E79" w:val="clear"/>
            <w:tcMar>
              <w:top w:type="dxa" w:w="40"/>
              <w:left w:type="dxa" w:w="80"/>
              <w:bottom w:type="dxa" w:w="40"/>
              <w:right w:type="dxa" w:w="80"/>
            </w:tcMar>
          </w:tcPr>
          <w:p>
            <w:pPr>
              <w:spacing w:after="20" w:before="20" w:line="252"/>
              <w:jc w:val="left"/>
            </w:pPr>
            <w:r>
              <w:rPr>
                <w:b/>
                <w:bCs/>
                <w:color w:val="FFFFFF"/>
                <w:sz w:val="18"/>
                <w:szCs w:val="18"/>
              </w:rPr>
              <w:t xml:space="preserve">Session (recording date)</w:t>
            </w:r>
          </w:p>
        </w:tc>
        <w:tc>
          <w:tcPr>
            <w:tcW w:type="dxa" w:w="5360"/>
            <w:shd w:fill="1F4E79" w:val="clear"/>
            <w:tcMar>
              <w:top w:type="dxa" w:w="40"/>
              <w:left w:type="dxa" w:w="80"/>
              <w:bottom w:type="dxa" w:w="40"/>
              <w:right w:type="dxa" w:w="80"/>
            </w:tcMar>
          </w:tcPr>
          <w:p>
            <w:pPr>
              <w:spacing w:after="20" w:before="20" w:line="252"/>
              <w:jc w:val="left"/>
            </w:pPr>
            <w:r>
              <w:rPr>
                <w:b/>
                <w:bCs/>
                <w:color w:val="FFFFFF"/>
                <w:sz w:val="18"/>
                <w:szCs w:val="18"/>
              </w:rPr>
              <w:t xml:space="preserve">Handling</w:t>
            </w:r>
          </w:p>
        </w:tc>
      </w:tr>
      <w:tr>
        <w:tc>
          <w:tcPr>
            <w:tcW w:type="dxa" w:w="14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1</w:t>
            </w:r>
          </w:p>
        </w:tc>
        <w:tc>
          <w:tcPr>
            <w:tcW w:type="dxa" w:w="26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2021-11-01</w:t>
            </w:r>
          </w:p>
        </w:tc>
        <w:tc>
          <w:tcPr>
            <w:tcW w:type="dxa" w:w="53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Control epochs only; all five depths.</w:t>
            </w:r>
          </w:p>
        </w:tc>
      </w:tr>
      <w:tr>
        <w:tc>
          <w:tcPr>
            <w:tcW w:type="dxa" w:w="14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2</w:t>
            </w:r>
          </w:p>
        </w:tc>
        <w:tc>
          <w:tcPr>
            <w:tcW w:type="dxa" w:w="26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2021-11-03</w:t>
            </w:r>
          </w:p>
        </w:tc>
        <w:tc>
          <w:tcPr>
            <w:tcW w:type="dxa" w:w="53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Control epochs only; all five depths.</w:t>
            </w:r>
          </w:p>
        </w:tc>
      </w:tr>
      <w:tr>
        <w:tc>
          <w:tcPr>
            <w:tcW w:type="dxa" w:w="14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3</w:t>
            </w:r>
          </w:p>
        </w:tc>
        <w:tc>
          <w:tcPr>
            <w:tcW w:type="dxa" w:w="26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2021-12-15</w:t>
            </w:r>
          </w:p>
        </w:tc>
        <w:tc>
          <w:tcPr>
            <w:tcW w:type="dxa" w:w="53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Control epochs only; all five depths.</w:t>
            </w:r>
          </w:p>
        </w:tc>
      </w:tr>
      <w:tr>
        <w:tc>
          <w:tcPr>
            <w:tcW w:type="dxa" w:w="14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4</w:t>
            </w:r>
          </w:p>
        </w:tc>
        <w:tc>
          <w:tcPr>
            <w:tcW w:type="dxa" w:w="26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2022-05-17</w:t>
            </w:r>
          </w:p>
        </w:tc>
        <w:tc>
          <w:tcPr>
            <w:tcW w:type="dxa" w:w="53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Control epochs only; all five depths.</w:t>
            </w:r>
          </w:p>
        </w:tc>
      </w:tr>
      <w:tr>
        <w:tc>
          <w:tcPr>
            <w:tcW w:type="dxa" w:w="14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5</w:t>
            </w:r>
          </w:p>
        </w:tc>
        <w:tc>
          <w:tcPr>
            <w:tcW w:type="dxa" w:w="26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2022-06-24</w:t>
            </w:r>
          </w:p>
        </w:tc>
        <w:tc>
          <w:tcPr>
            <w:tcW w:type="dxa" w:w="53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Control epochs only; all five depths.</w:t>
            </w:r>
          </w:p>
        </w:tc>
      </w:tr>
      <w:tr>
        <w:tc>
          <w:tcPr>
            <w:tcW w:type="dxa" w:w="14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6</w:t>
            </w:r>
          </w:p>
        </w:tc>
        <w:tc>
          <w:tcPr>
            <w:tcW w:type="dxa" w:w="26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2022-09-14</w:t>
            </w:r>
          </w:p>
        </w:tc>
        <w:tc>
          <w:tcPr>
            <w:tcW w:type="dxa" w:w="53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Control epochs only; all five depths.</w:t>
            </w:r>
          </w:p>
        </w:tc>
      </w:tr>
    </w:tbl>
    <w:p>
      <w:pPr>
        <w:spacing w:after="60"/>
      </w:pPr>
    </w:p>
    <w:p>
      <w:pPr>
        <w:spacing w:after="120" w:line="276"/>
        <w:jc w:val="both"/>
      </w:pPr>
      <w:r>
        <w:rPr>
          <w:i/>
          <w:iCs/>
        </w:rPr>
        <w:t xml:space="preserve">If any session yields too few all-control analysis windows to estimate coherence (fewer than 30 valid 4-s windows after masking), exclude it from the depth statistics and log the exclusion in the Methods report; do not silently drop it.</w:t>
      </w:r>
    </w:p>
    <w:p>
      <w:pPr>
        <w:pStyle w:val="Heading1"/>
        <w:spacing w:after="120" w:before="260"/>
      </w:pPr>
      <w:r>
        <w:rPr>
          <w:b/>
          <w:bCs/>
          <w:color w:val="1F4E79"/>
          <w:sz w:val="28"/>
          <w:szCs w:val="28"/>
        </w:rPr>
        <w:t xml:space="preserve">4. Signals and validated inputs</w:t>
      </w:r>
    </w:p>
    <w:p>
      <w:pPr>
        <w:spacing w:after="120" w:line="276"/>
        <w:jc w:val="both"/>
      </w:pPr>
      <w:r>
        <w:t xml:space="preserve">All signals come from the validated </w:t>
      </w:r>
      <w:r>
        <w:rPr>
          <w:rFonts w:ascii="Consolas" w:cs="Consolas" w:eastAsia="Consolas" w:hAnsi="Consolas"/>
          <w:b/>
          <w:bCs/>
        </w:rPr>
        <w:t xml:space="preserve">load_experiment_data</w:t>
      </w:r>
      <w:r>
        <w:t xml:space="preserve"> loader (Optimized Python kernel). The fields used are:</w:t>
      </w:r>
    </w:p>
    <w:p>
      <w:pPr>
        <w:spacing w:after="60"/>
      </w:pPr>
    </w:p>
    <w:tbl>
      <w:tblPr>
        <w:tblW w:type="dxa" w:w="9360"/>
        <w:tblBorders>
          <w:top w:val="single" w:color="1F4E79" w:sz="4"/>
          <w:left w:val="single" w:color="1F4E79" w:sz="4"/>
          <w:bottom w:val="single" w:color="1F4E79" w:sz="4"/>
          <w:right w:val="single" w:color="1F4E79" w:sz="4"/>
          <w:insideH w:val="single" w:color="BFBFBF" w:sz="2"/>
          <w:insideV w:val="single" w:color="BFBFBF" w:sz="2"/>
        </w:tblBorders>
      </w:tblPr>
      <w:tblGrid>
        <w:gridCol w:w="1700"/>
        <w:gridCol w:w="2100"/>
        <w:gridCol w:w="5560"/>
      </w:tblGrid>
      <w:tr>
        <w:trPr>
          <w:tblHeader/>
        </w:trPr>
        <w:tc>
          <w:tcPr>
            <w:tcW w:type="dxa" w:w="1700"/>
            <w:shd w:fill="1F4E79" w:val="clear"/>
            <w:tcMar>
              <w:top w:type="dxa" w:w="40"/>
              <w:left w:type="dxa" w:w="80"/>
              <w:bottom w:type="dxa" w:w="40"/>
              <w:right w:type="dxa" w:w="80"/>
            </w:tcMar>
          </w:tcPr>
          <w:p>
            <w:pPr>
              <w:spacing w:after="20" w:before="20" w:line="252"/>
              <w:jc w:val="left"/>
            </w:pPr>
            <w:r>
              <w:rPr>
                <w:b/>
                <w:bCs/>
                <w:color w:val="FFFFFF"/>
                <w:sz w:val="18"/>
                <w:szCs w:val="18"/>
              </w:rPr>
              <w:t xml:space="preserve">D-dict field</w:t>
            </w:r>
          </w:p>
        </w:tc>
        <w:tc>
          <w:tcPr>
            <w:tcW w:type="dxa" w:w="2100"/>
            <w:shd w:fill="1F4E79" w:val="clear"/>
            <w:tcMar>
              <w:top w:type="dxa" w:w="40"/>
              <w:left w:type="dxa" w:w="80"/>
              <w:bottom w:type="dxa" w:w="40"/>
              <w:right w:type="dxa" w:w="80"/>
            </w:tcMar>
          </w:tcPr>
          <w:p>
            <w:pPr>
              <w:spacing w:after="20" w:before="20" w:line="252"/>
              <w:jc w:val="left"/>
            </w:pPr>
            <w:r>
              <w:rPr>
                <w:b/>
                <w:bCs/>
                <w:color w:val="FFFFFF"/>
                <w:sz w:val="18"/>
                <w:szCs w:val="18"/>
              </w:rPr>
              <w:t xml:space="preserve">Rate / shape</w:t>
            </w:r>
          </w:p>
        </w:tc>
        <w:tc>
          <w:tcPr>
            <w:tcW w:type="dxa" w:w="5560"/>
            <w:shd w:fill="1F4E79" w:val="clear"/>
            <w:tcMar>
              <w:top w:type="dxa" w:w="40"/>
              <w:left w:type="dxa" w:w="80"/>
              <w:bottom w:type="dxa" w:w="40"/>
              <w:right w:type="dxa" w:w="80"/>
            </w:tcMar>
          </w:tcPr>
          <w:p>
            <w:pPr>
              <w:spacing w:after="20" w:before="20" w:line="252"/>
              <w:jc w:val="left"/>
            </w:pPr>
            <w:r>
              <w:rPr>
                <w:b/>
                <w:bCs/>
                <w:color w:val="FFFFFF"/>
                <w:sz w:val="18"/>
                <w:szCs w:val="18"/>
              </w:rPr>
              <w:t xml:space="preserve">Role in this task</w:t>
            </w:r>
          </w:p>
        </w:tc>
      </w:tr>
      <w:tr>
        <w:tc>
          <w:tcPr>
            <w:tcW w:type="dxa" w:w="1700"/>
            <w:shd w:fill="FFFFFF" w:val="clear"/>
            <w:tcMar>
              <w:top w:type="dxa" w:w="40"/>
              <w:left w:type="dxa" w:w="80"/>
              <w:bottom w:type="dxa" w:w="40"/>
              <w:right w:type="dxa" w:w="80"/>
            </w:tcMar>
          </w:tcPr>
          <w:p>
            <w:pPr>
              <w:spacing w:after="20" w:before="20" w:line="252"/>
              <w:jc w:val="left"/>
            </w:pPr>
            <w:r>
              <w:rPr>
                <w:b/>
                <w:bCs/>
                <w:color w:val="000000"/>
                <w:sz w:val="18"/>
                <w:szCs w:val="18"/>
              </w:rPr>
              <w:t xml:space="preserve">LFP</w:t>
            </w:r>
          </w:p>
        </w:tc>
        <w:tc>
          <w:tcPr>
            <w:tcW w:type="dxa" w:w="21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channels × samples @ LFP_Fs ≈ 1000 Hz</w:t>
            </w:r>
          </w:p>
        </w:tc>
        <w:tc>
          <w:tcPr>
            <w:tcW w:type="dxa" w:w="55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The neural signal. One channel = one depth. See the duration requirement below.</w:t>
            </w:r>
          </w:p>
        </w:tc>
      </w:tr>
      <w:tr>
        <w:tc>
          <w:tcPr>
            <w:tcW w:type="dxa" w:w="1700"/>
            <w:shd w:fill="F2F2F2" w:val="clear"/>
            <w:tcMar>
              <w:top w:type="dxa" w:w="40"/>
              <w:left w:type="dxa" w:w="80"/>
              <w:bottom w:type="dxa" w:w="40"/>
              <w:right w:type="dxa" w:w="80"/>
            </w:tcMar>
          </w:tcPr>
          <w:p>
            <w:pPr>
              <w:spacing w:after="20" w:before="20" w:line="252"/>
              <w:jc w:val="left"/>
            </w:pPr>
            <w:r>
              <w:rPr>
                <w:b/>
                <w:bCs/>
                <w:color w:val="000000"/>
                <w:sz w:val="18"/>
                <w:szCs w:val="18"/>
              </w:rPr>
              <w:t xml:space="preserve">LFP_t, LFP_Fs</w:t>
            </w:r>
          </w:p>
        </w:tc>
        <w:tc>
          <w:tcPr>
            <w:tcW w:type="dxa" w:w="21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seconds; Hz</w:t>
            </w:r>
          </w:p>
        </w:tc>
        <w:tc>
          <w:tcPr>
            <w:tcW w:type="dxa" w:w="55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LFP time base and sample rate (order-4 Butterworth low-pass at 400 Hz, then decimate to 1000 Hz).</w:t>
            </w:r>
          </w:p>
        </w:tc>
      </w:tr>
      <w:tr>
        <w:tc>
          <w:tcPr>
            <w:tcW w:type="dxa" w:w="1700"/>
            <w:shd w:fill="FFFFFF" w:val="clear"/>
            <w:tcMar>
              <w:top w:type="dxa" w:w="40"/>
              <w:left w:type="dxa" w:w="80"/>
              <w:bottom w:type="dxa" w:w="40"/>
              <w:right w:type="dxa" w:w="80"/>
            </w:tcMar>
          </w:tcPr>
          <w:p>
            <w:pPr>
              <w:spacing w:after="20" w:before="20" w:line="252"/>
              <w:jc w:val="left"/>
            </w:pPr>
            <w:r>
              <w:rPr>
                <w:b/>
                <w:bCs/>
                <w:color w:val="000000"/>
                <w:sz w:val="18"/>
                <w:szCs w:val="18"/>
              </w:rPr>
              <w:t xml:space="preserve">SNF</w:t>
            </w:r>
          </w:p>
        </w:tc>
        <w:tc>
          <w:tcPr>
            <w:tcW w:type="dxa" w:w="21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(n,) @ LV_Fs ≈ 125 Hz</w:t>
            </w:r>
          </w:p>
        </w:tc>
        <w:tc>
          <w:tcPr>
            <w:tcW w:type="dxa" w:w="55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Raw sniff-sensor (cannula pressure) trace — the respiratory reference for coherence (the paper's thermistor analogue).</w:t>
            </w:r>
          </w:p>
        </w:tc>
      </w:tr>
      <w:tr>
        <w:tc>
          <w:tcPr>
            <w:tcW w:type="dxa" w:w="1700"/>
            <w:shd w:fill="F2F2F2" w:val="clear"/>
            <w:tcMar>
              <w:top w:type="dxa" w:w="40"/>
              <w:left w:type="dxa" w:w="80"/>
              <w:bottom w:type="dxa" w:w="40"/>
              <w:right w:type="dxa" w:w="80"/>
            </w:tcMar>
          </w:tcPr>
          <w:p>
            <w:pPr>
              <w:spacing w:after="20" w:before="20" w:line="252"/>
              <w:jc w:val="left"/>
            </w:pPr>
            <w:r>
              <w:rPr>
                <w:b/>
                <w:bCs/>
                <w:color w:val="000000"/>
                <w:sz w:val="18"/>
                <w:szCs w:val="18"/>
              </w:rPr>
              <w:t xml:space="preserve">ETH</w:t>
            </w:r>
          </w:p>
        </w:tc>
        <w:tc>
          <w:tcPr>
            <w:tcW w:type="dxa" w:w="21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(n,) @ LV_Fs</w:t>
            </w:r>
          </w:p>
        </w:tc>
        <w:tc>
          <w:tcPr>
            <w:tcW w:type="dxa" w:w="55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Ethanol sensor trace, used only to mask out ethanol epochs (control-only restriction).</w:t>
            </w:r>
          </w:p>
        </w:tc>
      </w:tr>
      <w:tr>
        <w:tc>
          <w:tcPr>
            <w:tcW w:type="dxa" w:w="1700"/>
            <w:shd w:fill="FFFFFF" w:val="clear"/>
            <w:tcMar>
              <w:top w:type="dxa" w:w="40"/>
              <w:left w:type="dxa" w:w="80"/>
              <w:bottom w:type="dxa" w:w="40"/>
              <w:right w:type="dxa" w:w="80"/>
            </w:tcMar>
          </w:tcPr>
          <w:p>
            <w:pPr>
              <w:spacing w:after="20" w:before="20" w:line="252"/>
              <w:jc w:val="left"/>
            </w:pPr>
            <w:r>
              <w:rPr>
                <w:b/>
                <w:bCs/>
                <w:color w:val="000000"/>
                <w:sz w:val="18"/>
                <w:szCs w:val="18"/>
              </w:rPr>
              <w:t xml:space="preserve">LV_Fs</w:t>
            </w:r>
          </w:p>
        </w:tc>
        <w:tc>
          <w:tcPr>
            <w:tcW w:type="dxa" w:w="21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float</w:t>
            </w:r>
          </w:p>
        </w:tc>
        <w:tc>
          <w:tcPr>
            <w:tcW w:type="dxa" w:w="55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Sampling rate of SNF/ETH.</w:t>
            </w:r>
          </w:p>
        </w:tc>
      </w:tr>
      <w:tr>
        <w:tc>
          <w:tcPr>
            <w:tcW w:type="dxa" w:w="1700"/>
            <w:shd w:fill="F2F2F2" w:val="clear"/>
            <w:tcMar>
              <w:top w:type="dxa" w:w="40"/>
              <w:left w:type="dxa" w:w="80"/>
              <w:bottom w:type="dxa" w:w="40"/>
              <w:right w:type="dxa" w:w="80"/>
            </w:tcMar>
          </w:tcPr>
          <w:p>
            <w:pPr>
              <w:spacing w:after="20" w:before="20" w:line="252"/>
              <w:jc w:val="left"/>
            </w:pPr>
            <w:r>
              <w:rPr>
                <w:b/>
                <w:bCs/>
                <w:color w:val="000000"/>
                <w:sz w:val="18"/>
                <w:szCs w:val="18"/>
              </w:rPr>
              <w:t xml:space="preserve">xcoords, ycoords</w:t>
            </w:r>
          </w:p>
        </w:tc>
        <w:tc>
          <w:tcPr>
            <w:tcW w:type="dxa" w:w="21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(nCh,) µm</w:t>
            </w:r>
          </w:p>
        </w:tc>
        <w:tc>
          <w:tcPr>
            <w:tcW w:type="dxa" w:w="55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Probe channel geometry; ycoord = position along the probe. Basis for depth selection.</w:t>
            </w:r>
          </w:p>
        </w:tc>
      </w:tr>
      <w:tr>
        <w:tc>
          <w:tcPr>
            <w:tcW w:type="dxa" w:w="1700"/>
            <w:shd w:fill="FFFFFF" w:val="clear"/>
            <w:tcMar>
              <w:top w:type="dxa" w:w="40"/>
              <w:left w:type="dxa" w:w="80"/>
              <w:bottom w:type="dxa" w:w="40"/>
              <w:right w:type="dxa" w:w="80"/>
            </w:tcMar>
          </w:tcPr>
          <w:p>
            <w:pPr>
              <w:spacing w:after="20" w:before="20" w:line="252"/>
              <w:jc w:val="left"/>
            </w:pPr>
            <w:r>
              <w:rPr>
                <w:b/>
                <w:bCs/>
                <w:color w:val="000000"/>
                <w:sz w:val="18"/>
                <w:szCs w:val="18"/>
              </w:rPr>
              <w:t xml:space="preserve">NP_Fs</w:t>
            </w:r>
          </w:p>
        </w:tc>
        <w:tc>
          <w:tcPr>
            <w:tcW w:type="dxa" w:w="21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float</w:t>
            </w:r>
          </w:p>
        </w:tc>
        <w:tc>
          <w:tcPr>
            <w:tcW w:type="dxa" w:w="55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Native Neuropixels sample rate (used when re-deriving LFP for the full duration).</w:t>
            </w:r>
          </w:p>
        </w:tc>
      </w:tr>
    </w:tbl>
    <w:p>
      <w:pPr>
        <w:spacing w:after="60"/>
      </w:pPr>
    </w:p>
    <w:p>
      <w:pPr>
        <w:spacing w:after="120" w:line="276"/>
        <w:jc w:val="both"/>
      </w:pPr>
      <w:r>
        <w:rPr>
          <w:b/>
          <w:bCs/>
          <w:color w:val="C00000"/>
        </w:rPr>
        <w:t xml:space="preserve">Required data-provisioning change — full-duration LFP. </w:t>
      </w:r>
      <w:r>
        <w:t xml:space="preserve">The loader today extracts only the first 10 s of LFP (LFP_LOAD_SECS = 10, giving an LFP of 384 × 10000 at 1000 Hz). Figure 1's analysis needs the LFP across the whole recording, co-extensive with the SNF/ETH traces, so that many overlapping 4-s windows span the full range of sniff rates. </w:t>
      </w:r>
      <w:r>
        <w:rPr>
          <w:b/>
          <w:bCs/>
        </w:rPr>
        <w:t xml:space="preserve">This task therefore requires extending LFP extraction to the full recording duration</w:t>
      </w:r>
      <w:r>
        <w:t xml:space="preserve"> (equivalently, the full span covered by the control epochs) for the five selected channels. The extended LFP must preserve the validated preprocessing exactly (order-4 Butterworth low-pass at 400 Hz on the native signal, then decimation to 1000 Hz). </w:t>
      </w:r>
      <w:r>
        <w:rPr>
          <w:i/>
          <w:iCs/>
        </w:rPr>
        <w:t xml:space="preserve">Validation anchor: </w:t>
      </w:r>
      <w:r>
        <w:t xml:space="preserve">the extended LFP, restricted to the first 10 s, must equal the current loader's 10-s output channel-for-channel within numerical tolerance. Loading only the five selected channels (rather than all 384) at full duration is acceptable and preferred for memory.</w:t>
      </w:r>
    </w:p>
    <w:p>
      <w:pPr>
        <w:pStyle w:val="Heading1"/>
        <w:spacing w:after="120" w:before="260"/>
      </w:pPr>
      <w:r>
        <w:rPr>
          <w:b/>
          <w:bCs/>
          <w:color w:val="1F4E79"/>
          <w:sz w:val="28"/>
          <w:szCs w:val="28"/>
        </w:rPr>
        <w:t xml:space="preserve">5. Depth selection — the five channels</w:t>
      </w:r>
    </w:p>
    <w:p>
      <w:pPr>
        <w:spacing w:after="120" w:line="276"/>
        <w:jc w:val="both"/>
      </w:pPr>
      <w:r>
        <w:t xml:space="preserve">Choose five channels at evenly-spaced positions along the probe, using the same deterministic rule in every experiment so the depths are comparable across sessions:</w:t>
      </w:r>
    </w:p>
    <w:p>
      <w:pPr>
        <w:pStyle w:val="ListParagraph"/>
        <w:numPr>
          <w:ilvl w:val="0"/>
          <w:numId w:val="3"/>
        </w:numPr>
        <w:spacing w:after="70" w:line="264"/>
      </w:pPr>
      <w:r>
        <w:t xml:space="preserve">Among channels that have both a valid LFP row and a ycoord, take the minimum and maximum ycoord present (the recording extent along the probe).</w:t>
      </w:r>
    </w:p>
    <w:p>
      <w:pPr>
        <w:pStyle w:val="ListParagraph"/>
        <w:numPr>
          <w:ilvl w:val="0"/>
          <w:numId w:val="3"/>
        </w:numPr>
        <w:spacing w:after="70" w:line="264"/>
      </w:pPr>
      <w:r>
        <w:t xml:space="preserve">Define five target positions evenly spaced across that extent, at fractions 0.00, 0.25, 0.50, 0.75, and 1.00 of (max − min) ycoord.</w:t>
      </w:r>
    </w:p>
    <w:p>
      <w:pPr>
        <w:pStyle w:val="ListParagraph"/>
        <w:numPr>
          <w:ilvl w:val="0"/>
          <w:numId w:val="3"/>
        </w:numPr>
        <w:spacing w:after="70" w:line="264"/>
      </w:pPr>
      <w:r>
        <w:t xml:space="preserve">For each target, select the channel whose ycoord is nearest; on ties, take the lower channel index (and, if the probe has two columns at the same ycoord, keep a single fixed column throughout).</w:t>
      </w:r>
    </w:p>
    <w:p>
      <w:pPr>
        <w:pStyle w:val="ListParagraph"/>
        <w:numPr>
          <w:ilvl w:val="0"/>
          <w:numId w:val="3"/>
        </w:numPr>
        <w:spacing w:after="70" w:line="264"/>
      </w:pPr>
      <w:r>
        <w:t xml:space="preserve">Label the five Depth 1 … Depth 5 ordered from the probe tip (deepest inserted site) to the most superficial (bulb-surface-most) site. Report each depth's channel index and its ycoord in µm so the ordering is unambiguous regardless of the tip/surface reference convention.</w:t>
      </w:r>
    </w:p>
    <w:p>
      <w:pPr>
        <w:spacing w:after="120" w:line="276"/>
        <w:jc w:val="both"/>
      </w:pPr>
      <w:r>
        <w:t xml:space="preserve">Report, in the Methods report and QC table, the five chosen channel indices and ycoords (µm) for every experiment. Absolute depth from the bulb surface depends on the insertion depth (the array in the paper was lowered to ~1 mm) and is reported only where the insertion depth is known; otherwise depths are given as position along the probe. Depth ordinals (1–5) are used consistently across experiments in all cross-experiment comparisons.</w:t>
      </w:r>
    </w:p>
    <w:p>
      <w:pPr>
        <w:pStyle w:val="Heading1"/>
        <w:spacing w:after="120" w:before="260"/>
      </w:pPr>
      <w:r>
        <w:rPr>
          <w:b/>
          <w:bCs/>
          <w:color w:val="1F4E79"/>
          <w:sz w:val="28"/>
          <w:szCs w:val="28"/>
        </w:rPr>
        <w:t xml:space="preserve">6. Restriction to control (non-ethanol) epochs</w:t>
      </w:r>
    </w:p>
    <w:p>
      <w:pPr>
        <w:spacing w:after="120" w:line="276"/>
        <w:jc w:val="both"/>
      </w:pPr>
      <w:r>
        <w:t xml:space="preserve">Detect ethanol contact with the same fixed rule used in the NP-DEMO tasks, so control epochs are defined identically to prior work: for each experiment, subtract the mean of the entire ETH trace, then mark ethanol present wherever the mean-subtracted signal exceeds 0.05; at or below 0.05 is control. Do not threshold the raw ETH signal. Apply this one fixed rule to all six sessions with no per-experiment adjustment.</w:t>
      </w:r>
    </w:p>
    <w:p>
      <w:pPr>
        <w:spacing w:after="120" w:line="276"/>
        <w:jc w:val="both"/>
      </w:pPr>
      <w:r>
        <w:t xml:space="preserve">All spectral estimates use control epochs only. Concretely, when the recording is tiled into overlapping 4-s windows (Section 7), </w:t>
      </w:r>
      <w:r>
        <w:rPr>
          <w:b/>
          <w:bCs/>
        </w:rPr>
        <w:t xml:space="preserve">exclude any window that contains one or more ethanol samples</w:t>
      </w:r>
      <w:r>
        <w:t xml:space="preserve">, so that every window entering the power/coherence estimates is entirely control. Log the total ethanol time excluded per experiment.</w:t>
      </w:r>
    </w:p>
    <w:p>
      <w:pPr>
        <w:pStyle w:val="Heading1"/>
        <w:spacing w:after="120" w:before="260"/>
      </w:pPr>
      <w:r>
        <w:rPr>
          <w:b/>
          <w:bCs/>
          <w:color w:val="1F4E79"/>
          <w:sz w:val="28"/>
          <w:szCs w:val="28"/>
        </w:rPr>
        <w:t xml:space="preserve">7. Sniff detection, valid-sniff sections, and instantaneous sniff rate</w:t>
      </w:r>
    </w:p>
    <w:p>
      <w:pPr>
        <w:spacing w:after="120" w:line="276"/>
        <w:jc w:val="both"/>
      </w:pPr>
      <w:r>
        <w:t xml:space="preserve">Detect sniffs and instantaneous sniff phase from the SNF signal with the validated </w:t>
      </w:r>
      <w:r>
        <w:rPr>
          <w:rFonts w:ascii="Consolas" w:cs="Consolas" w:eastAsia="Consolas" w:hAnsi="Consolas"/>
          <w:b/>
          <w:bCs/>
        </w:rPr>
        <w:t xml:space="preserve">compute_sniff_phase</w:t>
      </w:r>
      <w:r>
        <w:t xml:space="preserve"> function at its default sniff-onset threshold (threshold_std = −0.5, pinned; never adjusted without separate human sign-off). From the detected sniff onsets:</w:t>
      </w:r>
    </w:p>
    <w:p>
      <w:pPr>
        <w:pStyle w:val="ListParagraph"/>
        <w:numPr>
          <w:ilvl w:val="0"/>
          <w:numId w:val="2"/>
        </w:numPr>
        <w:spacing w:after="70" w:line="264"/>
      </w:pPr>
      <w:r>
        <w:t xml:space="preserve">Take each onset as an inhalation time; the instantaneous sniff rate is the reciprocal of the inter-sniff interval (ISI), assigned to the interval between successive onsets.</w:t>
      </w:r>
    </w:p>
    <w:p>
      <w:pPr>
        <w:pStyle w:val="ListParagraph"/>
        <w:numPr>
          <w:ilvl w:val="0"/>
          <w:numId w:val="2"/>
        </w:numPr>
        <w:spacing w:after="70" w:line="264"/>
      </w:pPr>
      <w:r>
        <w:t xml:space="preserve">Following the paper, exclude sniffs whose duration (ISI) is below the 5th percentile or above the 95th percentile of that experiment's ISI distribution; these are treated as non-physiological and their spans are marked as invalid-sniff (noise) sections.</w:t>
      </w:r>
    </w:p>
    <w:p>
      <w:pPr>
        <w:pStyle w:val="ListParagraph"/>
        <w:numPr>
          <w:ilvl w:val="0"/>
          <w:numId w:val="2"/>
        </w:numPr>
        <w:spacing w:after="70" w:line="264"/>
      </w:pPr>
      <w:r>
        <w:t xml:space="preserve">Mark as invalid-sniff any span the sniff detector flags as noise / non-sniffing (the analogue of the phase-locking tasks' spike_SNF_PH = −1 sentinel).</w:t>
      </w:r>
    </w:p>
    <w:p>
      <w:pPr>
        <w:spacing w:after="120" w:line="276"/>
        <w:jc w:val="both"/>
      </w:pPr>
      <w:r>
        <w:t xml:space="preserve">Exclude any 4-s analysis window that overlaps an invalid-sniff section. The surviving windows are all-control and all-valid-sniff. The instantaneous sniff rate (from the retained sniffs) is used for the Figure 1C scatter overlay and the Figure 1D distribution; the </w:t>
      </w:r>
      <w:r>
        <w:rPr>
          <w:i/>
          <w:iCs/>
        </w:rPr>
        <w:t xml:space="preserve">raw</w:t>
      </w:r>
      <w:r>
        <w:t xml:space="preserve"> SNF signal (not the detected phase) is used for the power spectra and coherence, matching the paper, which computes coherence directly between the LFP and the thermistor signal.</w:t>
      </w:r>
    </w:p>
    <w:p>
      <w:pPr>
        <w:pStyle w:val="Heading1"/>
        <w:spacing w:after="120" w:before="260"/>
      </w:pPr>
      <w:r>
        <w:rPr>
          <w:b/>
          <w:bCs/>
          <w:color w:val="1F4E79"/>
          <w:sz w:val="28"/>
          <w:szCs w:val="28"/>
        </w:rPr>
        <w:t xml:space="preserve">8. Power spectra and LFP–sniff coherence</w:t>
      </w:r>
    </w:p>
    <w:p>
      <w:pPr>
        <w:spacing w:after="120" w:line="276"/>
        <w:jc w:val="both"/>
      </w:pPr>
      <w:r>
        <w:rPr>
          <w:b/>
          <w:bCs/>
        </w:rPr>
        <w:t xml:space="preserve">Common sampling. </w:t>
      </w:r>
      <w:r>
        <w:t xml:space="preserve">Coherence requires a shared time base. Work at the LFP rate (≈1000 Hz) and resample the SNF trace from LV_Fs (≈125 Hz) up to the LFP rate on the shared loader clock (SNF, ETH and LFP share the recording clock). The theta band (2–12 Hz) sits far below the SNF Nyquist (≈62 Hz), so upsampling introduces no aliasing; use polyphase or band-limited interpolation.</w:t>
      </w:r>
    </w:p>
    <w:p>
      <w:pPr>
        <w:spacing w:after="120" w:line="276"/>
        <w:jc w:val="both"/>
      </w:pPr>
      <w:r>
        <w:rPr>
          <w:b/>
          <w:bCs/>
        </w:rPr>
        <w:t xml:space="preserve">Windowing and multitaper estimate (per the paper). </w:t>
      </w:r>
      <w:r>
        <w:t xml:space="preserve">Tile each recording into 4-s windows with 50% overlap. In each window, compute multitaper (Thomson) spectral estimates using 7 Slepian tapers (time-bandwidth product NW = 4, so K ≈ 2·NW − 1 = 7 tapers; half-bandwidth ≈ 1 Hz). Report frequencies down to the 4-s lower bound of 0.25 Hz. From each window compute the LFP power spectrum S₁(f), the SNF power spectrum S₂(f), the cross-spectrum S₁₂(f), and the magnitude-squared-style coherence used in the paper:</w:t>
      </w:r>
    </w:p>
    <w:p>
      <w:pPr>
        <w:spacing w:after="120" w:before="40"/>
        <w:jc w:val="center"/>
      </w:pPr>
      <w:r>
        <w:rPr>
          <w:i/>
          <w:iCs/>
          <w:sz w:val="22"/>
          <w:szCs w:val="22"/>
        </w:rPr>
        <w:t xml:space="preserve">C(f) = | S₁₂(f) |  /  √( S₁(f) · S₂(f) )</w:t>
      </w:r>
    </w:p>
    <w:p>
      <w:pPr>
        <w:spacing w:after="120" w:line="276"/>
        <w:jc w:val="both"/>
      </w:pPr>
      <w:r>
        <w:t xml:space="preserve">Aggregate across the retained (all-control, all-valid-sniff) windows to give, per experiment × depth: the LFP power spectrum (Fig 1B/C-top), the SNF power spectrum (Fig 1C-middle, depth-independent), and the LFP–sniff coherence spectrum (Fig 1C-bottom). Also retain the per-window, time-resolved spectrograms and coherence for the Figure 1C heatmaps with the sniff-rate overlay. Bands used throughout: theta 2–12 Hz (primary), beta 18–30 Hz, gamma 65–100 Hz plus its envelope (for the Fig 1A traces).</w:t>
      </w:r>
    </w:p>
    <w:p>
      <w:pPr>
        <w:pStyle w:val="Heading1"/>
        <w:spacing w:after="120" w:before="260"/>
      </w:pPr>
      <w:r>
        <w:rPr>
          <w:b/>
          <w:bCs/>
          <w:color w:val="1F4E79"/>
          <w:sz w:val="28"/>
          <w:szCs w:val="28"/>
        </w:rPr>
        <w:t xml:space="preserve">9. Coherence significance — circular-shift null</w:t>
      </w:r>
    </w:p>
    <w:p>
      <w:pPr>
        <w:spacing w:after="120" w:line="276"/>
        <w:jc w:val="both"/>
      </w:pPr>
      <w:r>
        <w:t xml:space="preserve">Establish significance exactly as the paper does. Build a null coherence distribution by circularly shifting the SNF signal relative to the LFP and recomputing the windowed coherence; perform at least 1000 pseudo-random circular shifts. At each frequency, the 95th percentile of the null coherence is the significance threshold (the red dotted line in Fig 1E), and the observed coherence is reported as its percentile within the null. Pin the random seed to 5489 (lab convention) so the null — and therefore every significance decision — is reproducible. A depth's coherence at a frequency is "significant" when it exceeds the 95% null threshold there.</w:t>
      </w:r>
    </w:p>
    <w:p>
      <w:pPr>
        <w:pStyle w:val="Heading1"/>
        <w:spacing w:after="120" w:before="260"/>
      </w:pPr>
      <w:r>
        <w:rPr>
          <w:b/>
          <w:bCs/>
          <w:color w:val="1F4E79"/>
          <w:sz w:val="28"/>
          <w:szCs w:val="28"/>
        </w:rPr>
        <w:t xml:space="preserve">10. Per-depth sniff-alignment strength</w:t>
      </w:r>
    </w:p>
    <w:p>
      <w:pPr>
        <w:spacing w:after="120" w:line="276"/>
        <w:jc w:val="both"/>
      </w:pPr>
      <w:r>
        <w:t xml:space="preserve">For each experiment × depth, reduce the coherence spectrum to the scalar alignment measures below. The </w:t>
      </w:r>
      <w:r>
        <w:rPr>
          <w:b/>
          <w:bCs/>
        </w:rPr>
        <w:t xml:space="preserve">primary</w:t>
      </w:r>
      <w:r>
        <w:t xml:space="preserve"> measure — the one that answers "which depth aligns best" — is the theta-band coherence, matching Figure 1's use of 2–12 Hz coherence as the strength of LFP–sniff alignment.</w:t>
      </w:r>
    </w:p>
    <w:p>
      <w:pPr>
        <w:spacing w:after="60"/>
      </w:pPr>
    </w:p>
    <w:tbl>
      <w:tblPr>
        <w:tblW w:type="dxa" w:w="9360"/>
        <w:tblBorders>
          <w:top w:val="single" w:color="1F4E79" w:sz="4"/>
          <w:left w:val="single" w:color="1F4E79" w:sz="4"/>
          <w:bottom w:val="single" w:color="1F4E79" w:sz="4"/>
          <w:right w:val="single" w:color="1F4E79" w:sz="4"/>
          <w:insideH w:val="single" w:color="BFBFBF" w:sz="2"/>
          <w:insideV w:val="single" w:color="BFBFBF" w:sz="2"/>
        </w:tblBorders>
      </w:tblPr>
      <w:tblGrid>
        <w:gridCol w:w="2500"/>
        <w:gridCol w:w="1300"/>
        <w:gridCol w:w="5560"/>
      </w:tblGrid>
      <w:tr>
        <w:trPr>
          <w:tblHeader/>
        </w:trPr>
        <w:tc>
          <w:tcPr>
            <w:tcW w:type="dxa" w:w="2500"/>
            <w:shd w:fill="1F4E79" w:val="clear"/>
            <w:tcMar>
              <w:top w:type="dxa" w:w="40"/>
              <w:left w:type="dxa" w:w="80"/>
              <w:bottom w:type="dxa" w:w="40"/>
              <w:right w:type="dxa" w:w="80"/>
            </w:tcMar>
          </w:tcPr>
          <w:p>
            <w:pPr>
              <w:spacing w:after="20" w:before="20" w:line="252"/>
              <w:jc w:val="left"/>
            </w:pPr>
            <w:r>
              <w:rPr>
                <w:b/>
                <w:bCs/>
                <w:color w:val="FFFFFF"/>
                <w:sz w:val="18"/>
                <w:szCs w:val="18"/>
              </w:rPr>
              <w:t xml:space="preserve">Metric</w:t>
            </w:r>
          </w:p>
        </w:tc>
        <w:tc>
          <w:tcPr>
            <w:tcW w:type="dxa" w:w="1300"/>
            <w:shd w:fill="1F4E79" w:val="clear"/>
            <w:tcMar>
              <w:top w:type="dxa" w:w="40"/>
              <w:left w:type="dxa" w:w="80"/>
              <w:bottom w:type="dxa" w:w="40"/>
              <w:right w:type="dxa" w:w="80"/>
            </w:tcMar>
          </w:tcPr>
          <w:p>
            <w:pPr>
              <w:spacing w:after="20" w:before="20" w:line="252"/>
              <w:jc w:val="left"/>
            </w:pPr>
            <w:r>
              <w:rPr>
                <w:b/>
                <w:bCs/>
                <w:color w:val="FFFFFF"/>
                <w:sz w:val="18"/>
                <w:szCs w:val="18"/>
              </w:rPr>
              <w:t xml:space="preserve">Role</w:t>
            </w:r>
          </w:p>
        </w:tc>
        <w:tc>
          <w:tcPr>
            <w:tcW w:type="dxa" w:w="5560"/>
            <w:shd w:fill="1F4E79" w:val="clear"/>
            <w:tcMar>
              <w:top w:type="dxa" w:w="40"/>
              <w:left w:type="dxa" w:w="80"/>
              <w:bottom w:type="dxa" w:w="40"/>
              <w:right w:type="dxa" w:w="80"/>
            </w:tcMar>
          </w:tcPr>
          <w:p>
            <w:pPr>
              <w:spacing w:after="20" w:before="20" w:line="252"/>
              <w:jc w:val="left"/>
            </w:pPr>
            <w:r>
              <w:rPr>
                <w:b/>
                <w:bCs/>
                <w:color w:val="FFFFFF"/>
                <w:sz w:val="18"/>
                <w:szCs w:val="18"/>
              </w:rPr>
              <w:t xml:space="preserve">Definition</w:t>
            </w:r>
          </w:p>
        </w:tc>
      </w:tr>
      <w:tr>
        <w:tc>
          <w:tcPr>
            <w:tcW w:type="dxa" w:w="2500"/>
            <w:shd w:fill="FFFFFF" w:val="clear"/>
            <w:tcMar>
              <w:top w:type="dxa" w:w="40"/>
              <w:left w:type="dxa" w:w="80"/>
              <w:bottom w:type="dxa" w:w="40"/>
              <w:right w:type="dxa" w:w="80"/>
            </w:tcMar>
          </w:tcPr>
          <w:p>
            <w:pPr>
              <w:spacing w:after="20" w:before="20" w:line="252"/>
              <w:jc w:val="left"/>
            </w:pPr>
            <w:r>
              <w:rPr>
                <w:b/>
                <w:bCs/>
                <w:color w:val="000000"/>
                <w:sz w:val="18"/>
                <w:szCs w:val="18"/>
              </w:rPr>
              <w:t xml:space="preserve">Mean theta coherence</w:t>
            </w:r>
          </w:p>
        </w:tc>
        <w:tc>
          <w:tcPr>
            <w:tcW w:type="dxa" w:w="1300"/>
            <w:shd w:fill="FFFFFF" w:val="clear"/>
            <w:tcMar>
              <w:top w:type="dxa" w:w="40"/>
              <w:left w:type="dxa" w:w="80"/>
              <w:bottom w:type="dxa" w:w="40"/>
              <w:right w:type="dxa" w:w="80"/>
            </w:tcMar>
          </w:tcPr>
          <w:p>
            <w:pPr>
              <w:spacing w:after="20" w:before="20" w:line="252"/>
              <w:jc w:val="left"/>
            </w:pPr>
            <w:r>
              <w:rPr>
                <w:b/>
                <w:bCs/>
                <w:color w:val="000000"/>
                <w:sz w:val="18"/>
                <w:szCs w:val="18"/>
              </w:rPr>
              <w:t xml:space="preserve">Primary</w:t>
            </w:r>
          </w:p>
        </w:tc>
        <w:tc>
          <w:tcPr>
            <w:tcW w:type="dxa" w:w="55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Mean of C(f) over 2–12 Hz, averaged across the retained control windows.</w:t>
            </w:r>
          </w:p>
        </w:tc>
      </w:tr>
      <w:tr>
        <w:tc>
          <w:tcPr>
            <w:tcW w:type="dxa" w:w="25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Peak theta coherence</w:t>
            </w:r>
          </w:p>
        </w:tc>
        <w:tc>
          <w:tcPr>
            <w:tcW w:type="dxa" w:w="13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Secondary</w:t>
            </w:r>
          </w:p>
        </w:tc>
        <w:tc>
          <w:tcPr>
            <w:tcW w:type="dxa" w:w="55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Maximum of C(f) over 2–12 Hz, and the frequency at which it occurs.</w:t>
            </w:r>
          </w:p>
        </w:tc>
      </w:tr>
      <w:tr>
        <w:tc>
          <w:tcPr>
            <w:tcW w:type="dxa" w:w="25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Significant theta fraction</w:t>
            </w:r>
          </w:p>
        </w:tc>
        <w:tc>
          <w:tcPr>
            <w:tcW w:type="dxa" w:w="130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Secondary</w:t>
            </w:r>
          </w:p>
        </w:tc>
        <w:tc>
          <w:tcPr>
            <w:tcW w:type="dxa" w:w="55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Fraction of the 2–12 Hz band whose coherence exceeds the 95% circular-shift null threshold.</w:t>
            </w:r>
          </w:p>
        </w:tc>
      </w:tr>
      <w:tr>
        <w:tc>
          <w:tcPr>
            <w:tcW w:type="dxa" w:w="25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Peak-coherence percentile</w:t>
            </w:r>
          </w:p>
        </w:tc>
        <w:tc>
          <w:tcPr>
            <w:tcW w:type="dxa" w:w="130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Secondary</w:t>
            </w:r>
          </w:p>
        </w:tc>
        <w:tc>
          <w:tcPr>
            <w:tcW w:type="dxa" w:w="55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Percentile of the peak theta coherence within the circular-shift null.</w:t>
            </w:r>
          </w:p>
        </w:tc>
      </w:tr>
    </w:tbl>
    <w:p>
      <w:pPr>
        <w:pStyle w:val="Heading1"/>
        <w:spacing w:after="120" w:before="260"/>
      </w:pPr>
      <w:r>
        <w:rPr>
          <w:b/>
          <w:bCs/>
          <w:color w:val="1F4E79"/>
          <w:sz w:val="28"/>
          <w:szCs w:val="28"/>
        </w:rPr>
        <w:t xml:space="preserve">11. Which depth aligns best with sniffing</w:t>
      </w:r>
    </w:p>
    <w:p>
      <w:pPr>
        <w:pStyle w:val="ListParagraph"/>
        <w:numPr>
          <w:ilvl w:val="0"/>
          <w:numId w:val="2"/>
        </w:numPr>
        <w:spacing w:after="70" w:line="264"/>
      </w:pPr>
      <w:r>
        <w:rPr>
          <w:b/>
          <w:bCs/>
        </w:rPr>
        <w:t xml:space="preserve">Per experiment: </w:t>
      </w:r>
      <w:r>
        <w:t xml:space="preserve">the best depth is the one of the five with the highest mean theta coherence.</w:t>
      </w:r>
    </w:p>
    <w:p>
      <w:pPr>
        <w:pStyle w:val="ListParagraph"/>
        <w:numPr>
          <w:ilvl w:val="0"/>
          <w:numId w:val="2"/>
        </w:numPr>
        <w:spacing w:after="70" w:line="264"/>
      </w:pPr>
      <w:r>
        <w:rPr>
          <w:b/>
          <w:bCs/>
        </w:rPr>
        <w:t xml:space="preserve">Overall: </w:t>
      </w:r>
      <w:r>
        <w:t xml:space="preserve">rank the five depths by their grand-mean theta coherence across experiments; the top-ranked depth is the overall best-aligned depth.</w:t>
      </w:r>
    </w:p>
    <w:p>
      <w:pPr>
        <w:pStyle w:val="ListParagraph"/>
        <w:numPr>
          <w:ilvl w:val="0"/>
          <w:numId w:val="2"/>
        </w:numPr>
        <w:spacing w:after="70" w:line="264"/>
      </w:pPr>
      <w:r>
        <w:rPr>
          <w:b/>
          <w:bCs/>
        </w:rPr>
        <w:t xml:space="preserve">Consistency: </w:t>
      </w:r>
      <w:r>
        <w:t xml:space="preserve">report, for each depth ordinal, the number of experiments in which it was the best depth, so a robust winner is distinguished from a marginal one.</w:t>
      </w:r>
    </w:p>
    <w:p>
      <w:pPr>
        <w:pStyle w:val="ListParagraph"/>
        <w:numPr>
          <w:ilvl w:val="0"/>
          <w:numId w:val="2"/>
        </w:numPr>
        <w:spacing w:after="70" w:line="264"/>
      </w:pPr>
      <w:r>
        <w:rPr>
          <w:b/>
          <w:bCs/>
        </w:rPr>
        <w:t xml:space="preserve">Significance of the winner: </w:t>
      </w:r>
      <w:r>
        <w:t xml:space="preserve">if the omnibus depth test (Section 12) is significant, report whether the overall-best depth's theta coherence is significantly greater than the others from the Holm-corrected post-hoc comparisons.</w:t>
      </w:r>
    </w:p>
    <w:p>
      <w:pPr>
        <w:pStyle w:val="Heading1"/>
        <w:spacing w:after="120" w:before="260"/>
      </w:pPr>
      <w:r>
        <w:rPr>
          <w:b/>
          <w:bCs/>
          <w:color w:val="1F4E79"/>
          <w:sz w:val="28"/>
          <w:szCs w:val="28"/>
        </w:rPr>
        <w:t xml:space="preserve">12. Does alignment vary by depth — statistical tests</w:t>
      </w:r>
    </w:p>
    <w:p>
      <w:pPr>
        <w:spacing w:after="120" w:line="276"/>
        <w:jc w:val="both"/>
      </w:pPr>
      <w:r>
        <w:t xml:space="preserve">The unit of analysis is the per-experiment × per-depth mean theta coherence (six experiments × five depths = up to 30 values, fewer if a session is excluded per Section 3). Because the five depths are measured within each experiment, use a within-experiment (repeated-measures) design:</w:t>
      </w:r>
    </w:p>
    <w:p>
      <w:pPr>
        <w:pStyle w:val="ListParagraph"/>
        <w:numPr>
          <w:ilvl w:val="0"/>
          <w:numId w:val="2"/>
        </w:numPr>
        <w:spacing w:after="70" w:line="264"/>
      </w:pPr>
      <w:r>
        <w:rPr>
          <w:b/>
          <w:bCs/>
        </w:rPr>
        <w:t xml:space="preserve">Primary — linear mixed-effects model. </w:t>
      </w:r>
      <w:r>
        <w:t xml:space="preserve">Model mean theta coherence with depth (a categorical factor with five levels) as a fixed effect and experiment as a random intercept (statsmodels). Test the overall depth effect with a likelihood-ratio test against the intercept-only random-effects model; report the chi-square, degrees of freedom, and exact p. Effect size: the range of the estimated marginal depth means, plus the intraclass correlation / conditional-vs-marginal variance explained.</w:t>
      </w:r>
    </w:p>
    <w:p>
      <w:pPr>
        <w:pStyle w:val="ListParagraph"/>
        <w:numPr>
          <w:ilvl w:val="0"/>
          <w:numId w:val="2"/>
        </w:numPr>
        <w:spacing w:after="70" w:line="264"/>
      </w:pPr>
      <w:r>
        <w:rPr>
          <w:b/>
          <w:bCs/>
        </w:rPr>
        <w:t xml:space="preserve">Confirmatory — Friedman test. </w:t>
      </w:r>
      <w:r>
        <w:t xml:space="preserve">A distribution-free repeated-measures test across the five depths with experiments as blocks; report the statistic, degrees of freedom, and exact p, with Kendall's W as the effect size.</w:t>
      </w:r>
    </w:p>
    <w:p>
      <w:pPr>
        <w:pStyle w:val="ListParagraph"/>
        <w:numPr>
          <w:ilvl w:val="0"/>
          <w:numId w:val="2"/>
        </w:numPr>
        <w:spacing w:after="70" w:line="264"/>
      </w:pPr>
      <w:r>
        <w:rPr>
          <w:b/>
          <w:bCs/>
        </w:rPr>
        <w:t xml:space="preserve">Post-hoc (only if the omnibus test is significant, p &lt; 0.05). </w:t>
      </w:r>
      <w:r>
        <w:t xml:space="preserve">Pairwise paired, exact, two-sided Wilcoxon signed-rank tests between depths, Holm-corrected across the pairwise family; report matched-pairs rank-biserial r for each surviving pair.</w:t>
      </w:r>
    </w:p>
    <w:p>
      <w:pPr>
        <w:spacing w:after="120" w:line="276"/>
        <w:jc w:val="both"/>
      </w:pPr>
      <w:r>
        <w:rPr>
          <w:i/>
          <w:iCs/>
        </w:rPr>
        <w:t xml:space="preserve">Reporting stance: </w:t>
      </w:r>
      <w:r>
        <w:t xml:space="preserve">the depth-dependence question is exploratory. Frame results as characterization, report exact p-values and effect sizes, and avoid causal or over-definitive language. The coherence computation itself is a confirmatory replication of the paper's published method.</w:t>
      </w:r>
    </w:p>
    <w:p>
      <w:pPr>
        <w:pStyle w:val="Heading1"/>
        <w:spacing w:after="120" w:before="260"/>
      </w:pPr>
      <w:r>
        <w:rPr>
          <w:b/>
          <w:bCs/>
          <w:color w:val="1F4E79"/>
          <w:sz w:val="28"/>
          <w:szCs w:val="28"/>
        </w:rPr>
        <w:t xml:space="preserve">13. Deliverable A — Methods / QC report and figures</w:t>
      </w:r>
    </w:p>
    <w:p>
      <w:pPr>
        <w:spacing w:after="120" w:line="276"/>
        <w:jc w:val="both"/>
      </w:pPr>
      <w:r>
        <w:t xml:space="preserve">Produce a separate Methods/QC report (.docx) documenting exactly how the analysis was run and what was included or discarded. It must contain, per experiment, the exact numbers below and the discarded-section log:</w:t>
      </w:r>
    </w:p>
    <w:p>
      <w:pPr>
        <w:pStyle w:val="ListParagraph"/>
        <w:numPr>
          <w:ilvl w:val="0"/>
          <w:numId w:val="2"/>
        </w:numPr>
        <w:spacing w:after="70" w:line="264"/>
      </w:pPr>
      <w:r>
        <w:t xml:space="preserve">Recording length (minutes); number of all-control, all-valid-sniff 4-s windows used; number of windows excluded, split by reason (ethanol overlap vs invalid-sniff/noise overlap).</w:t>
      </w:r>
    </w:p>
    <w:p>
      <w:pPr>
        <w:pStyle w:val="ListParagraph"/>
        <w:numPr>
          <w:ilvl w:val="0"/>
          <w:numId w:val="2"/>
        </w:numPr>
        <w:spacing w:after="70" w:line="264"/>
      </w:pPr>
      <w:r>
        <w:t xml:space="preserve">Number of sniffs detected and retained (after the 5th/95th-percentile ISI exclusion); the instantaneous sniff-rate range and median; percentage of recording time that is usable (all-control, valid-sniff).</w:t>
      </w:r>
    </w:p>
    <w:p>
      <w:pPr>
        <w:pStyle w:val="ListParagraph"/>
        <w:numPr>
          <w:ilvl w:val="0"/>
          <w:numId w:val="2"/>
        </w:numPr>
        <w:spacing w:after="70" w:line="264"/>
      </w:pPr>
      <w:r>
        <w:t xml:space="preserve">The five chosen channel indices and their ycoords (µm), i.e. the exact depths analyzed.</w:t>
      </w:r>
    </w:p>
    <w:p>
      <w:pPr>
        <w:pStyle w:val="ListParagraph"/>
        <w:numPr>
          <w:ilvl w:val="0"/>
          <w:numId w:val="2"/>
        </w:numPr>
        <w:spacing w:after="70" w:line="264"/>
      </w:pPr>
      <w:r>
        <w:t xml:space="preserve">A discarded-sections log: for every excluded span, the experiment, start_s, end_s, and reason (ethanol / non-sniff noise / ISI outlier).</w:t>
      </w:r>
    </w:p>
    <w:p>
      <w:pPr>
        <w:spacing w:after="120" w:line="276"/>
        <w:jc w:val="both"/>
      </w:pPr>
      <w:r>
        <w:t xml:space="preserve">Methods figures:</w:t>
      </w:r>
    </w:p>
    <w:p>
      <w:pPr>
        <w:pStyle w:val="ListParagraph"/>
        <w:numPr>
          <w:ilvl w:val="0"/>
          <w:numId w:val="2"/>
        </w:numPr>
        <w:spacing w:after="70" w:line="264"/>
      </w:pPr>
      <w:r>
        <w:rPr>
          <w:rFonts w:ascii="Consolas" w:cs="Consolas" w:eastAsia="Consolas" w:hAnsi="Consolas"/>
          <w:b/>
          <w:bCs/>
        </w:rPr>
        <w:t xml:space="preserve">FIG-PAPER1-TRACES </w:t>
      </w:r>
      <w:r>
        <w:t xml:space="preserve">(Figure 1A analogue). For a representative experiment and a representative control segment, the SNF signal on top and, for each of the five depths, the LFP shown unfiltered and band-filtered (theta 2–12, beta 18–30, gamma 65–100 + envelope), colored green during inhalation and black during exhalation/pause. Sniff-onset markers shown.</w:t>
      </w:r>
    </w:p>
    <w:p>
      <w:pPr>
        <w:pStyle w:val="ListParagraph"/>
        <w:numPr>
          <w:ilvl w:val="0"/>
          <w:numId w:val="2"/>
        </w:numPr>
        <w:spacing w:after="70" w:line="264"/>
      </w:pPr>
      <w:r>
        <w:rPr>
          <w:rFonts w:ascii="Consolas" w:cs="Consolas" w:eastAsia="Consolas" w:hAnsi="Consolas"/>
          <w:b/>
          <w:bCs/>
        </w:rPr>
        <w:t xml:space="preserve">FIG-PAPER1-SPECTRO </w:t>
      </w:r>
      <w:r>
        <w:t xml:space="preserve">(Figure 1C analogue). For a representative experiment, a grid of multitaper spectrograms — rows = the five depths; per depth the LFP-power and LFP–sniff-coherence spectrograms with the instantaneous sniff-rate scatter overlaid — plus the depth-independent SNF-power spectrogram once.</w:t>
      </w:r>
    </w:p>
    <w:p>
      <w:pPr>
        <w:pStyle w:val="ListParagraph"/>
        <w:numPr>
          <w:ilvl w:val="0"/>
          <w:numId w:val="2"/>
        </w:numPr>
        <w:spacing w:after="70" w:line="264"/>
      </w:pPr>
      <w:r>
        <w:rPr>
          <w:rFonts w:ascii="Consolas" w:cs="Consolas" w:eastAsia="Consolas" w:hAnsi="Consolas"/>
          <w:b/>
          <w:bCs/>
        </w:rPr>
        <w:t xml:space="preserve">FIG-PAPER1-SNIFFRATE </w:t>
      </w:r>
      <w:r>
        <w:t xml:space="preserve">(Figure 1D analogue). The instantaneous sniff-rate distribution (control epochs) per experiment; depth-independent.</w:t>
      </w:r>
    </w:p>
    <w:p>
      <w:pPr>
        <w:pStyle w:val="Heading1"/>
        <w:spacing w:after="120" w:before="260"/>
      </w:pPr>
      <w:r>
        <w:rPr>
          <w:b/>
          <w:bCs/>
          <w:color w:val="1F4E79"/>
          <w:sz w:val="28"/>
          <w:szCs w:val="28"/>
        </w:rPr>
        <w:t xml:space="preserve">14. Deliverable B — Results report and figures</w:t>
      </w:r>
    </w:p>
    <w:p>
      <w:pPr>
        <w:spacing w:after="120" w:line="276"/>
        <w:jc w:val="both"/>
      </w:pPr>
      <w:r>
        <w:t xml:space="preserve">Produce a separate Results report (.docx) answering the two questions. It must report: the per-depth theta-coherence strength (mean ± SEM across experiments); the best depth per experiment and overall, with the consistency counts; and the varies-by-depth tests (mixed-effects LRT and Friedman, exact p and effect sizes; Holm-corrected post-hoc pairs if the omnibus is significant). Results figures:</w:t>
      </w:r>
    </w:p>
    <w:p>
      <w:pPr>
        <w:pStyle w:val="ListParagraph"/>
        <w:numPr>
          <w:ilvl w:val="0"/>
          <w:numId w:val="2"/>
        </w:numPr>
        <w:spacing w:after="70" w:line="264"/>
      </w:pPr>
      <w:r>
        <w:rPr>
          <w:rFonts w:ascii="Consolas" w:cs="Consolas" w:eastAsia="Consolas" w:hAnsi="Consolas"/>
          <w:b/>
          <w:bCs/>
        </w:rPr>
        <w:t xml:space="preserve">FIG-PAPER1-PSD </w:t>
      </w:r>
      <w:r>
        <w:t xml:space="preserve">(Figure 1B analogue). LFP power spectral density overlaid for the five depths (grand mean ± SEM across experiments), with theta/beta/gamma bands marked.</w:t>
      </w:r>
    </w:p>
    <w:p>
      <w:pPr>
        <w:pStyle w:val="ListParagraph"/>
        <w:numPr>
          <w:ilvl w:val="0"/>
          <w:numId w:val="2"/>
        </w:numPr>
        <w:spacing w:after="70" w:line="264"/>
      </w:pPr>
      <w:r>
        <w:rPr>
          <w:rFonts w:ascii="Consolas" w:cs="Consolas" w:eastAsia="Consolas" w:hAnsi="Consolas"/>
          <w:b/>
          <w:bCs/>
        </w:rPr>
        <w:t xml:space="preserve">FIG-PAPER1-COH </w:t>
      </w:r>
      <w:r>
        <w:t xml:space="preserve">(Figure 1C-bottom / 1E analogue; KEY). The LFP–sniff coherence spectrum for each of the five depths (grand mean ± SEM across experiments), with the 95% circular-shift null threshold drawn as a red dotted line and the theta band shaded. This figure shows directly which depth has the strongest theta coherence.</w:t>
      </w:r>
    </w:p>
    <w:p>
      <w:pPr>
        <w:pStyle w:val="ListParagraph"/>
        <w:numPr>
          <w:ilvl w:val="0"/>
          <w:numId w:val="2"/>
        </w:numPr>
        <w:spacing w:after="70" w:line="264"/>
      </w:pPr>
      <w:r>
        <w:rPr>
          <w:rFonts w:ascii="Consolas" w:cs="Consolas" w:eastAsia="Consolas" w:hAnsi="Consolas"/>
          <w:b/>
          <w:bCs/>
        </w:rPr>
        <w:t xml:space="preserve">FIG-PAPER1-DEPTH-SUMMARY </w:t>
      </w:r>
      <w:r>
        <w:t xml:space="preserve">(the requested summary figure; HEADLINE). Sniff-alignment strength (mean theta coherence) as a function of depth (ycoord µm / ordinal 1–5): per-experiment points plus grand mean ± SEM, with the best-aligned depth marked. Annotate the omnibus test result (does alignment vary by depth) and identify the depth with the strongest coherence to sniffing. A companion panel shows the significant-theta-fraction by depth.</w:t>
      </w:r>
    </w:p>
    <w:p>
      <w:pPr>
        <w:pStyle w:val="Heading1"/>
        <w:spacing w:after="120" w:before="260"/>
      </w:pPr>
      <w:r>
        <w:rPr>
          <w:b/>
          <w:bCs/>
          <w:color w:val="1F4E79"/>
          <w:sz w:val="28"/>
          <w:szCs w:val="28"/>
        </w:rPr>
        <w:t xml:space="preserve">15. Result objects to emit</w:t>
      </w:r>
    </w:p>
    <w:p>
      <w:pPr>
        <w:spacing w:after="60"/>
      </w:pPr>
    </w:p>
    <w:tbl>
      <w:tblPr>
        <w:tblW w:type="dxa" w:w="9360"/>
        <w:tblBorders>
          <w:top w:val="single" w:color="1F4E79" w:sz="4"/>
          <w:left w:val="single" w:color="1F4E79" w:sz="4"/>
          <w:bottom w:val="single" w:color="1F4E79" w:sz="4"/>
          <w:right w:val="single" w:color="1F4E79" w:sz="4"/>
          <w:insideH w:val="single" w:color="BFBFBF" w:sz="2"/>
          <w:insideV w:val="single" w:color="BFBFBF" w:sz="2"/>
        </w:tblBorders>
      </w:tblPr>
      <w:tblGrid>
        <w:gridCol w:w="2450"/>
        <w:gridCol w:w="1050"/>
        <w:gridCol w:w="5860"/>
      </w:tblGrid>
      <w:tr>
        <w:trPr>
          <w:tblHeader/>
        </w:trPr>
        <w:tc>
          <w:tcPr>
            <w:tcW w:type="dxa" w:w="2450"/>
            <w:shd w:fill="1F4E79" w:val="clear"/>
            <w:tcMar>
              <w:top w:type="dxa" w:w="40"/>
              <w:left w:type="dxa" w:w="80"/>
              <w:bottom w:type="dxa" w:w="40"/>
              <w:right w:type="dxa" w:w="80"/>
            </w:tcMar>
          </w:tcPr>
          <w:p>
            <w:pPr>
              <w:spacing w:after="20" w:before="20" w:line="252"/>
              <w:jc w:val="left"/>
            </w:pPr>
            <w:r>
              <w:rPr>
                <w:b/>
                <w:bCs/>
                <w:color w:val="FFFFFF"/>
                <w:sz w:val="18"/>
                <w:szCs w:val="18"/>
              </w:rPr>
              <w:t xml:space="preserve">Result ID</w:t>
            </w:r>
          </w:p>
        </w:tc>
        <w:tc>
          <w:tcPr>
            <w:tcW w:type="dxa" w:w="1050"/>
            <w:shd w:fill="1F4E79" w:val="clear"/>
            <w:tcMar>
              <w:top w:type="dxa" w:w="40"/>
              <w:left w:type="dxa" w:w="80"/>
              <w:bottom w:type="dxa" w:w="40"/>
              <w:right w:type="dxa" w:w="80"/>
            </w:tcMar>
          </w:tcPr>
          <w:p>
            <w:pPr>
              <w:spacing w:after="20" w:before="20" w:line="252"/>
              <w:jc w:val="left"/>
            </w:pPr>
            <w:r>
              <w:rPr>
                <w:b/>
                <w:bCs/>
                <w:color w:val="FFFFFF"/>
                <w:sz w:val="18"/>
                <w:szCs w:val="18"/>
              </w:rPr>
              <w:t xml:space="preserve">Type</w:t>
            </w:r>
          </w:p>
        </w:tc>
        <w:tc>
          <w:tcPr>
            <w:tcW w:type="dxa" w:w="5860"/>
            <w:shd w:fill="1F4E79" w:val="clear"/>
            <w:tcMar>
              <w:top w:type="dxa" w:w="40"/>
              <w:left w:type="dxa" w:w="80"/>
              <w:bottom w:type="dxa" w:w="40"/>
              <w:right w:type="dxa" w:w="80"/>
            </w:tcMar>
          </w:tcPr>
          <w:p>
            <w:pPr>
              <w:spacing w:after="20" w:before="20" w:line="252"/>
              <w:jc w:val="left"/>
            </w:pPr>
            <w:r>
              <w:rPr>
                <w:b/>
                <w:bCs/>
                <w:color w:val="FFFFFF"/>
                <w:sz w:val="18"/>
                <w:szCs w:val="18"/>
              </w:rPr>
              <w:t xml:space="preserve">Contents</w:t>
            </w:r>
          </w:p>
        </w:tc>
      </w:tr>
      <w:tr>
        <w:tc>
          <w:tcPr>
            <w:tcW w:type="dxa" w:w="2450"/>
            <w:shd w:fill="FFFFFF" w:val="clear"/>
            <w:tcMar>
              <w:top w:type="dxa" w:w="40"/>
              <w:left w:type="dxa" w:w="80"/>
              <w:bottom w:type="dxa" w:w="40"/>
              <w:right w:type="dxa" w:w="80"/>
            </w:tcMar>
          </w:tcPr>
          <w:p>
            <w:pPr>
              <w:spacing w:after="20" w:before="20" w:line="252"/>
              <w:jc w:val="left"/>
            </w:pPr>
            <w:r>
              <w:rPr>
                <w:b/>
                <w:bCs/>
                <w:color w:val="000000"/>
                <w:sz w:val="18"/>
                <w:szCs w:val="18"/>
              </w:rPr>
              <w:t xml:space="preserve">RESULT-coh-spectrum</w:t>
            </w:r>
          </w:p>
        </w:tc>
        <w:tc>
          <w:tcPr>
            <w:tcW w:type="dxa" w:w="105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array</w:t>
            </w:r>
          </w:p>
        </w:tc>
        <w:tc>
          <w:tcPr>
            <w:tcW w:type="dxa" w:w="58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 experiment × depth: LFP–sniff coherence C(f) vs frequency, averaged over retained control windows.</w:t>
            </w:r>
          </w:p>
        </w:tc>
      </w:tr>
      <w:tr>
        <w:tc>
          <w:tcPr>
            <w:tcW w:type="dxa" w:w="2450"/>
            <w:shd w:fill="F2F2F2" w:val="clear"/>
            <w:tcMar>
              <w:top w:type="dxa" w:w="40"/>
              <w:left w:type="dxa" w:w="80"/>
              <w:bottom w:type="dxa" w:w="40"/>
              <w:right w:type="dxa" w:w="80"/>
            </w:tcMar>
          </w:tcPr>
          <w:p>
            <w:pPr>
              <w:spacing w:after="20" w:before="20" w:line="252"/>
              <w:jc w:val="left"/>
            </w:pPr>
            <w:r>
              <w:rPr>
                <w:b/>
                <w:bCs/>
                <w:color w:val="000000"/>
                <w:sz w:val="18"/>
                <w:szCs w:val="18"/>
              </w:rPr>
              <w:t xml:space="preserve">RESULT-lfp-psd</w:t>
            </w:r>
          </w:p>
        </w:tc>
        <w:tc>
          <w:tcPr>
            <w:tcW w:type="dxa" w:w="105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array</w:t>
            </w:r>
          </w:p>
        </w:tc>
        <w:tc>
          <w:tcPr>
            <w:tcW w:type="dxa" w:w="58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 experiment × depth: LFP power spectrum vs frequency.</w:t>
            </w:r>
          </w:p>
        </w:tc>
      </w:tr>
      <w:tr>
        <w:tc>
          <w:tcPr>
            <w:tcW w:type="dxa" w:w="2450"/>
            <w:shd w:fill="FFFFFF" w:val="clear"/>
            <w:tcMar>
              <w:top w:type="dxa" w:w="40"/>
              <w:left w:type="dxa" w:w="80"/>
              <w:bottom w:type="dxa" w:w="40"/>
              <w:right w:type="dxa" w:w="80"/>
            </w:tcMar>
          </w:tcPr>
          <w:p>
            <w:pPr>
              <w:spacing w:after="20" w:before="20" w:line="252"/>
              <w:jc w:val="left"/>
            </w:pPr>
            <w:r>
              <w:rPr>
                <w:b/>
                <w:bCs/>
                <w:color w:val="000000"/>
                <w:sz w:val="18"/>
                <w:szCs w:val="18"/>
              </w:rPr>
              <w:t xml:space="preserve">RESULT-snf-psd</w:t>
            </w:r>
          </w:p>
        </w:tc>
        <w:tc>
          <w:tcPr>
            <w:tcW w:type="dxa" w:w="105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array</w:t>
            </w:r>
          </w:p>
        </w:tc>
        <w:tc>
          <w:tcPr>
            <w:tcW w:type="dxa" w:w="58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 experiment: SNF power spectrum vs frequency (depth-independent).</w:t>
            </w:r>
          </w:p>
        </w:tc>
      </w:tr>
      <w:tr>
        <w:tc>
          <w:tcPr>
            <w:tcW w:type="dxa" w:w="2450"/>
            <w:shd w:fill="F2F2F2" w:val="clear"/>
            <w:tcMar>
              <w:top w:type="dxa" w:w="40"/>
              <w:left w:type="dxa" w:w="80"/>
              <w:bottom w:type="dxa" w:w="40"/>
              <w:right w:type="dxa" w:w="80"/>
            </w:tcMar>
          </w:tcPr>
          <w:p>
            <w:pPr>
              <w:spacing w:after="20" w:before="20" w:line="252"/>
              <w:jc w:val="left"/>
            </w:pPr>
            <w:r>
              <w:rPr>
                <w:b/>
                <w:bCs/>
                <w:color w:val="000000"/>
                <w:sz w:val="18"/>
                <w:szCs w:val="18"/>
              </w:rPr>
              <w:t xml:space="preserve">RESULT-null-threshold</w:t>
            </w:r>
          </w:p>
        </w:tc>
        <w:tc>
          <w:tcPr>
            <w:tcW w:type="dxa" w:w="105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array</w:t>
            </w:r>
          </w:p>
        </w:tc>
        <w:tc>
          <w:tcPr>
            <w:tcW w:type="dxa" w:w="58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 experiment × depth: 95% circular-shift null coherence threshold vs frequency (seed 5489).</w:t>
            </w:r>
          </w:p>
        </w:tc>
      </w:tr>
      <w:tr>
        <w:tc>
          <w:tcPr>
            <w:tcW w:type="dxa" w:w="2450"/>
            <w:shd w:fill="FFFFFF" w:val="clear"/>
            <w:tcMar>
              <w:top w:type="dxa" w:w="40"/>
              <w:left w:type="dxa" w:w="80"/>
              <w:bottom w:type="dxa" w:w="40"/>
              <w:right w:type="dxa" w:w="80"/>
            </w:tcMar>
          </w:tcPr>
          <w:p>
            <w:pPr>
              <w:spacing w:after="20" w:before="20" w:line="252"/>
              <w:jc w:val="left"/>
            </w:pPr>
            <w:r>
              <w:rPr>
                <w:b/>
                <w:bCs/>
                <w:color w:val="000000"/>
                <w:sz w:val="18"/>
                <w:szCs w:val="18"/>
              </w:rPr>
              <w:t xml:space="preserve">RESULT-theta-coh</w:t>
            </w:r>
          </w:p>
        </w:tc>
        <w:tc>
          <w:tcPr>
            <w:tcW w:type="dxa" w:w="105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table</w:t>
            </w:r>
          </w:p>
        </w:tc>
        <w:tc>
          <w:tcPr>
            <w:tcW w:type="dxa" w:w="58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 experiment × depth: mean theta coherence (primary), peak theta coherence + frequency, significant-theta fraction, peak-percentile vs null.</w:t>
            </w:r>
          </w:p>
        </w:tc>
      </w:tr>
      <w:tr>
        <w:tc>
          <w:tcPr>
            <w:tcW w:type="dxa" w:w="2450"/>
            <w:shd w:fill="F2F2F2" w:val="clear"/>
            <w:tcMar>
              <w:top w:type="dxa" w:w="40"/>
              <w:left w:type="dxa" w:w="80"/>
              <w:bottom w:type="dxa" w:w="40"/>
              <w:right w:type="dxa" w:w="80"/>
            </w:tcMar>
          </w:tcPr>
          <w:p>
            <w:pPr>
              <w:spacing w:after="20" w:before="20" w:line="252"/>
              <w:jc w:val="left"/>
            </w:pPr>
            <w:r>
              <w:rPr>
                <w:b/>
                <w:bCs/>
                <w:color w:val="000000"/>
                <w:sz w:val="18"/>
                <w:szCs w:val="18"/>
              </w:rPr>
              <w:t xml:space="preserve">RESULT-best-depth</w:t>
            </w:r>
          </w:p>
        </w:tc>
        <w:tc>
          <w:tcPr>
            <w:tcW w:type="dxa" w:w="105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table</w:t>
            </w:r>
          </w:p>
        </w:tc>
        <w:tc>
          <w:tcPr>
            <w:tcW w:type="dxa" w:w="58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 experiment best depth; overall depth ranking by grand-mean theta coherence; per-ordinal consistency counts.</w:t>
            </w:r>
          </w:p>
        </w:tc>
      </w:tr>
      <w:tr>
        <w:tc>
          <w:tcPr>
            <w:tcW w:type="dxa" w:w="2450"/>
            <w:shd w:fill="FFFFFF" w:val="clear"/>
            <w:tcMar>
              <w:top w:type="dxa" w:w="40"/>
              <w:left w:type="dxa" w:w="80"/>
              <w:bottom w:type="dxa" w:w="40"/>
              <w:right w:type="dxa" w:w="80"/>
            </w:tcMar>
          </w:tcPr>
          <w:p>
            <w:pPr>
              <w:spacing w:after="20" w:before="20" w:line="252"/>
              <w:jc w:val="left"/>
            </w:pPr>
            <w:r>
              <w:rPr>
                <w:b/>
                <w:bCs/>
                <w:color w:val="000000"/>
                <w:sz w:val="18"/>
                <w:szCs w:val="18"/>
              </w:rPr>
              <w:t xml:space="preserve">RESULT-depth-stat</w:t>
            </w:r>
          </w:p>
        </w:tc>
        <w:tc>
          <w:tcPr>
            <w:tcW w:type="dxa" w:w="105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object</w:t>
            </w:r>
          </w:p>
        </w:tc>
        <w:tc>
          <w:tcPr>
            <w:tcW w:type="dxa" w:w="58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Varies-by-depth tests: mixed-effects LRT (chi-square, df, exact p, effect size) + Friedman (stat, df, exact p, Kendall's W) + Holm-corrected post-hoc pairs if significant.</w:t>
            </w:r>
          </w:p>
        </w:tc>
      </w:tr>
      <w:tr>
        <w:tc>
          <w:tcPr>
            <w:tcW w:type="dxa" w:w="2450"/>
            <w:shd w:fill="F2F2F2" w:val="clear"/>
            <w:tcMar>
              <w:top w:type="dxa" w:w="40"/>
              <w:left w:type="dxa" w:w="80"/>
              <w:bottom w:type="dxa" w:w="40"/>
              <w:right w:type="dxa" w:w="80"/>
            </w:tcMar>
          </w:tcPr>
          <w:p>
            <w:pPr>
              <w:spacing w:after="20" w:before="20" w:line="252"/>
              <w:jc w:val="left"/>
            </w:pPr>
            <w:r>
              <w:rPr>
                <w:b/>
                <w:bCs/>
                <w:color w:val="000000"/>
                <w:sz w:val="18"/>
                <w:szCs w:val="18"/>
              </w:rPr>
              <w:t xml:space="preserve">RESULT-sniff-rate</w:t>
            </w:r>
          </w:p>
        </w:tc>
        <w:tc>
          <w:tcPr>
            <w:tcW w:type="dxa" w:w="105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table</w:t>
            </w:r>
          </w:p>
        </w:tc>
        <w:tc>
          <w:tcPr>
            <w:tcW w:type="dxa" w:w="58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 experiment: instantaneous sniff-rate distribution (control) with median and IQR.</w:t>
            </w:r>
          </w:p>
        </w:tc>
      </w:tr>
      <w:tr>
        <w:tc>
          <w:tcPr>
            <w:tcW w:type="dxa" w:w="2450"/>
            <w:shd w:fill="FFFFFF" w:val="clear"/>
            <w:tcMar>
              <w:top w:type="dxa" w:w="40"/>
              <w:left w:type="dxa" w:w="80"/>
              <w:bottom w:type="dxa" w:w="40"/>
              <w:right w:type="dxa" w:w="80"/>
            </w:tcMar>
          </w:tcPr>
          <w:p>
            <w:pPr>
              <w:spacing w:after="20" w:before="20" w:line="252"/>
              <w:jc w:val="left"/>
            </w:pPr>
            <w:r>
              <w:rPr>
                <w:b/>
                <w:bCs/>
                <w:color w:val="000000"/>
                <w:sz w:val="18"/>
                <w:szCs w:val="18"/>
              </w:rPr>
              <w:t xml:space="preserve">RESULT-qc-counts</w:t>
            </w:r>
          </w:p>
        </w:tc>
        <w:tc>
          <w:tcPr>
            <w:tcW w:type="dxa" w:w="105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table</w:t>
            </w:r>
          </w:p>
        </w:tc>
        <w:tc>
          <w:tcPr>
            <w:tcW w:type="dxa" w:w="58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 experiment: length_min, n_windows_used, n_windows_excluded (ethanol / noise), n_sniffs, pct_usable, and the five chosen channel indices + ycoords (µm).</w:t>
            </w:r>
          </w:p>
        </w:tc>
      </w:tr>
      <w:tr>
        <w:tc>
          <w:tcPr>
            <w:tcW w:type="dxa" w:w="2450"/>
            <w:shd w:fill="F2F2F2" w:val="clear"/>
            <w:tcMar>
              <w:top w:type="dxa" w:w="40"/>
              <w:left w:type="dxa" w:w="80"/>
              <w:bottom w:type="dxa" w:w="40"/>
              <w:right w:type="dxa" w:w="80"/>
            </w:tcMar>
          </w:tcPr>
          <w:p>
            <w:pPr>
              <w:spacing w:after="20" w:before="20" w:line="252"/>
              <w:jc w:val="left"/>
            </w:pPr>
            <w:r>
              <w:rPr>
                <w:b/>
                <w:bCs/>
                <w:color w:val="000000"/>
                <w:sz w:val="18"/>
                <w:szCs w:val="18"/>
              </w:rPr>
              <w:t xml:space="preserve">RESULT-qc-discards</w:t>
            </w:r>
          </w:p>
        </w:tc>
        <w:tc>
          <w:tcPr>
            <w:tcW w:type="dxa" w:w="105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table</w:t>
            </w:r>
          </w:p>
        </w:tc>
        <w:tc>
          <w:tcPr>
            <w:tcW w:type="dxa" w:w="58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Per experiment: discarded spans (start_s, end_s, reason).</w:t>
            </w:r>
          </w:p>
        </w:tc>
      </w:tr>
      <w:tr>
        <w:tc>
          <w:tcPr>
            <w:tcW w:type="dxa" w:w="2450"/>
            <w:shd w:fill="FFFFFF" w:val="clear"/>
            <w:tcMar>
              <w:top w:type="dxa" w:w="40"/>
              <w:left w:type="dxa" w:w="80"/>
              <w:bottom w:type="dxa" w:w="40"/>
              <w:right w:type="dxa" w:w="80"/>
            </w:tcMar>
          </w:tcPr>
          <w:p>
            <w:pPr>
              <w:spacing w:after="20" w:before="20" w:line="252"/>
              <w:jc w:val="left"/>
            </w:pPr>
            <w:r>
              <w:rPr>
                <w:b/>
                <w:bCs/>
                <w:color w:val="000000"/>
                <w:sz w:val="18"/>
                <w:szCs w:val="18"/>
              </w:rPr>
              <w:t xml:space="preserve">RESULT-example-traces</w:t>
            </w:r>
          </w:p>
        </w:tc>
        <w:tc>
          <w:tcPr>
            <w:tcW w:type="dxa" w:w="105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array</w:t>
            </w:r>
          </w:p>
        </w:tc>
        <w:tc>
          <w:tcPr>
            <w:tcW w:type="dxa" w:w="58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The representative control segment (SNF + per-depth band-filtered LFP + inhalation mask) backing FIG-PAPER1-TRACES.</w:t>
            </w:r>
          </w:p>
        </w:tc>
      </w:tr>
      <w:tr>
        <w:tc>
          <w:tcPr>
            <w:tcW w:type="dxa" w:w="2450"/>
            <w:shd w:fill="F2F2F2" w:val="clear"/>
            <w:tcMar>
              <w:top w:type="dxa" w:w="40"/>
              <w:left w:type="dxa" w:w="80"/>
              <w:bottom w:type="dxa" w:w="40"/>
              <w:right w:type="dxa" w:w="80"/>
            </w:tcMar>
          </w:tcPr>
          <w:p>
            <w:pPr>
              <w:spacing w:after="20" w:before="20" w:line="252"/>
              <w:jc w:val="left"/>
            </w:pPr>
            <w:r>
              <w:rPr>
                <w:b/>
                <w:bCs/>
                <w:color w:val="000000"/>
                <w:sz w:val="18"/>
                <w:szCs w:val="18"/>
              </w:rPr>
              <w:t xml:space="preserve">RESULT-methods-doc</w:t>
            </w:r>
          </w:p>
        </w:tc>
        <w:tc>
          <w:tcPr>
            <w:tcW w:type="dxa" w:w="105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document</w:t>
            </w:r>
          </w:p>
        </w:tc>
        <w:tc>
          <w:tcPr>
            <w:tcW w:type="dxa" w:w="5860"/>
            <w:shd w:fill="F2F2F2" w:val="clear"/>
            <w:tcMar>
              <w:top w:type="dxa" w:w="40"/>
              <w:left w:type="dxa" w:w="80"/>
              <w:bottom w:type="dxa" w:w="40"/>
              <w:right w:type="dxa" w:w="80"/>
            </w:tcMar>
          </w:tcPr>
          <w:p>
            <w:pPr>
              <w:spacing w:after="20" w:before="20" w:line="252"/>
              <w:jc w:val="left"/>
            </w:pPr>
            <w:r>
              <w:rPr>
                <w:b w:val="false"/>
                <w:bCs w:val="false"/>
                <w:color w:val="000000"/>
                <w:sz w:val="18"/>
                <w:szCs w:val="18"/>
              </w:rPr>
              <w:t xml:space="preserve">The Methods/QC report.</w:t>
            </w:r>
          </w:p>
        </w:tc>
      </w:tr>
      <w:tr>
        <w:tc>
          <w:tcPr>
            <w:tcW w:type="dxa" w:w="2450"/>
            <w:shd w:fill="FFFFFF" w:val="clear"/>
            <w:tcMar>
              <w:top w:type="dxa" w:w="40"/>
              <w:left w:type="dxa" w:w="80"/>
              <w:bottom w:type="dxa" w:w="40"/>
              <w:right w:type="dxa" w:w="80"/>
            </w:tcMar>
          </w:tcPr>
          <w:p>
            <w:pPr>
              <w:spacing w:after="20" w:before="20" w:line="252"/>
              <w:jc w:val="left"/>
            </w:pPr>
            <w:r>
              <w:rPr>
                <w:b/>
                <w:bCs/>
                <w:color w:val="000000"/>
                <w:sz w:val="18"/>
                <w:szCs w:val="18"/>
              </w:rPr>
              <w:t xml:space="preserve">RESULT-results-doc</w:t>
            </w:r>
          </w:p>
        </w:tc>
        <w:tc>
          <w:tcPr>
            <w:tcW w:type="dxa" w:w="105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document</w:t>
            </w:r>
          </w:p>
        </w:tc>
        <w:tc>
          <w:tcPr>
            <w:tcW w:type="dxa" w:w="5860"/>
            <w:shd w:fill="FFFFFF" w:val="clear"/>
            <w:tcMar>
              <w:top w:type="dxa" w:w="40"/>
              <w:left w:type="dxa" w:w="80"/>
              <w:bottom w:type="dxa" w:w="40"/>
              <w:right w:type="dxa" w:w="80"/>
            </w:tcMar>
          </w:tcPr>
          <w:p>
            <w:pPr>
              <w:spacing w:after="20" w:before="20" w:line="252"/>
              <w:jc w:val="left"/>
            </w:pPr>
            <w:r>
              <w:rPr>
                <w:b w:val="false"/>
                <w:bCs w:val="false"/>
                <w:color w:val="000000"/>
                <w:sz w:val="18"/>
                <w:szCs w:val="18"/>
              </w:rPr>
              <w:t xml:space="preserve">The Results report.</w:t>
            </w:r>
          </w:p>
        </w:tc>
      </w:tr>
    </w:tbl>
    <w:p>
      <w:pPr>
        <w:pStyle w:val="Heading1"/>
        <w:spacing w:after="120" w:before="260"/>
      </w:pPr>
      <w:r>
        <w:rPr>
          <w:b/>
          <w:bCs/>
          <w:color w:val="1F4E79"/>
          <w:sz w:val="28"/>
          <w:szCs w:val="28"/>
        </w:rPr>
        <w:t xml:space="preserve">16. New analysis functions and how to validate them</w:t>
      </w:r>
    </w:p>
    <w:p>
      <w:pPr>
        <w:spacing w:after="120" w:line="276"/>
        <w:jc w:val="both"/>
      </w:pPr>
      <w:r>
        <w:t xml:space="preserve">The loader, sniff detection (compute_sniff_phase), and probe geometry are existing validated kernel functions. The spectral machinery is </w:t>
      </w:r>
      <w:r>
        <w:rPr>
          <w:b/>
          <w:bCs/>
        </w:rPr>
        <w:t xml:space="preserve">new</w:t>
      </w:r>
      <w:r>
        <w:t xml:space="preserve"> and must be implemented and validated through the normal workflow (oracle-designer → analysis-implementer → numeric gate → independent re-derivation), not hand-waved. The new pieces are: (a) full-duration LFP extraction for selected channels (Section 4); (b) multitaper power spectrum and LFP–sniff coherence (Section 8); (c) the circular-shift null and percentile significance (Section 9); (d) the per-depth theta-coherence reduction and the depth statistics (Sections 10–12).</w:t>
      </w:r>
    </w:p>
    <w:p>
      <w:pPr>
        <w:spacing w:after="120" w:line="276"/>
        <w:jc w:val="both"/>
      </w:pPr>
      <w:r>
        <w:t xml:space="preserve">Validation / grounding:</w:t>
      </w:r>
    </w:p>
    <w:p>
      <w:pPr>
        <w:pStyle w:val="ListParagraph"/>
        <w:numPr>
          <w:ilvl w:val="0"/>
          <w:numId w:val="2"/>
        </w:numPr>
        <w:spacing w:after="70" w:line="264"/>
      </w:pPr>
      <w:r>
        <w:t xml:space="preserve">Full-duration LFP: must match the current 10-s loader output channel-for-channel on the overlapping first 10 s (regression anchor).</w:t>
      </w:r>
    </w:p>
    <w:p>
      <w:pPr>
        <w:pStyle w:val="ListParagraph"/>
        <w:numPr>
          <w:ilvl w:val="0"/>
          <w:numId w:val="2"/>
        </w:numPr>
        <w:spacing w:after="70" w:line="264"/>
      </w:pPr>
      <w:r>
        <w:t xml:space="preserve">Multitaper spectra and coherence: validate against an independent reference on a fixed synthetic fixture (two signals with known coherence, e.g. a common oscillation plus independent noise) and against SciPy/`nitime`-style multitaper on the same input; the paper's own reference implementation (github.com/Sid-Rafilson-1617/sniff-LFP) may seed the oracle. Numeric tolerance: coherence and PSD within rtol 1e-6 / atol 1e-9 on the fixture slice.</w:t>
      </w:r>
    </w:p>
    <w:p>
      <w:pPr>
        <w:pStyle w:val="ListParagraph"/>
        <w:numPr>
          <w:ilvl w:val="0"/>
          <w:numId w:val="2"/>
        </w:numPr>
        <w:spacing w:after="70" w:line="264"/>
      </w:pPr>
      <w:r>
        <w:t xml:space="preserve">Circular-shift null: reproducible bit-for-bit given seed 5489; the significance decision (exceeds/does-not-exceed the 95% threshold) is the accepted comparison at the workload level.</w:t>
      </w:r>
    </w:p>
    <w:p>
      <w:pPr>
        <w:pStyle w:val="ListParagraph"/>
        <w:numPr>
          <w:ilvl w:val="0"/>
          <w:numId w:val="2"/>
        </w:numPr>
        <w:spacing w:after="70" w:line="264"/>
      </w:pPr>
      <w:r>
        <w:t xml:space="preserve">Depth statistics: the mixed-effects and Friedman decisions reproduce on re-run; effect sizes within tolerance.</w:t>
      </w:r>
    </w:p>
    <w:p>
      <w:pPr>
        <w:pStyle w:val="Heading1"/>
        <w:spacing w:after="120" w:before="260"/>
      </w:pPr>
      <w:r>
        <w:rPr>
          <w:b/>
          <w:bCs/>
          <w:color w:val="1F4E79"/>
          <w:sz w:val="28"/>
          <w:szCs w:val="28"/>
        </w:rPr>
        <w:t xml:space="preserve">17. Pinned choices and prohibited changes</w:t>
      </w:r>
    </w:p>
    <w:p>
      <w:pPr>
        <w:pStyle w:val="ListParagraph"/>
        <w:numPr>
          <w:ilvl w:val="0"/>
          <w:numId w:val="2"/>
        </w:numPr>
        <w:spacing w:after="70" w:line="264"/>
      </w:pPr>
      <w:r>
        <w:t xml:space="preserve">Sniff onset threshold_std = −0.5 (pinned; no change without separate human sign-off).</w:t>
      </w:r>
    </w:p>
    <w:p>
      <w:pPr>
        <w:pStyle w:val="ListParagraph"/>
        <w:numPr>
          <w:ilvl w:val="0"/>
          <w:numId w:val="2"/>
        </w:numPr>
        <w:spacing w:after="70" w:line="264"/>
      </w:pPr>
      <w:r>
        <w:t xml:space="preserve">Multitaper: 4-s windows, 50% overlap, 7 Slepian tapers (NW = 4); frequency lower bound 0.25 Hz. Theta band = 2–12 Hz.</w:t>
      </w:r>
    </w:p>
    <w:p>
      <w:pPr>
        <w:pStyle w:val="ListParagraph"/>
        <w:numPr>
          <w:ilvl w:val="0"/>
          <w:numId w:val="2"/>
        </w:numPr>
        <w:spacing w:after="70" w:line="264"/>
      </w:pPr>
      <w:r>
        <w:t xml:space="preserve">Circular-shift null: ≥1000 shifts; 95th-percentile threshold; seed 5489.</w:t>
      </w:r>
    </w:p>
    <w:p>
      <w:pPr>
        <w:pStyle w:val="ListParagraph"/>
        <w:numPr>
          <w:ilvl w:val="0"/>
          <w:numId w:val="2"/>
        </w:numPr>
        <w:spacing w:after="70" w:line="264"/>
      </w:pPr>
      <w:r>
        <w:t xml:space="preserve">Control-only: every analysis window entirely within control epochs (mean-subtracted ETH ≤ 0.05); no per-experiment threshold adjustment.</w:t>
      </w:r>
    </w:p>
    <w:p>
      <w:pPr>
        <w:pStyle w:val="ListParagraph"/>
        <w:numPr>
          <w:ilvl w:val="0"/>
          <w:numId w:val="2"/>
        </w:numPr>
        <w:spacing w:after="70" w:line="264"/>
      </w:pPr>
      <w:r>
        <w:t xml:space="preserve">Use the raw SNF signal (resampled) for coherence, and the LFP for the neural side. Do not substitute the detected sniff phase for the SNF signal in the coherence computation.</w:t>
      </w:r>
    </w:p>
    <w:p>
      <w:pPr>
        <w:pStyle w:val="ListParagraph"/>
        <w:numPr>
          <w:ilvl w:val="0"/>
          <w:numId w:val="2"/>
        </w:numPr>
        <w:spacing w:after="70" w:line="264"/>
      </w:pPr>
      <w:r>
        <w:t xml:space="preserve">Do not edit the Optimized Python kernel analysis logic, the Golden Fixtures, or tolerance configuration (beyond the additive, validated full-duration LFP extraction).</w:t>
      </w:r>
    </w:p>
    <w:p>
      <w:pPr>
        <w:pStyle w:val="Heading1"/>
        <w:spacing w:after="120" w:before="260"/>
      </w:pPr>
      <w:r>
        <w:rPr>
          <w:b/>
          <w:bCs/>
          <w:color w:val="1F4E79"/>
          <w:sz w:val="28"/>
          <w:szCs w:val="28"/>
        </w:rPr>
        <w:t xml:space="preserve">18. Assumptions and scope limitations</w:t>
      </w:r>
    </w:p>
    <w:p>
      <w:pPr>
        <w:pStyle w:val="ListParagraph"/>
        <w:numPr>
          <w:ilvl w:val="0"/>
          <w:numId w:val="2"/>
        </w:numPr>
        <w:spacing w:after="70" w:line="264"/>
      </w:pPr>
      <w:r>
        <w:t xml:space="preserve">Each recording session is one independent experiment; if two sessions share an animal, note it and use animal as the random-effect grouping instead of session.</w:t>
      </w:r>
    </w:p>
    <w:p>
      <w:pPr>
        <w:pStyle w:val="ListParagraph"/>
        <w:numPr>
          <w:ilvl w:val="0"/>
          <w:numId w:val="2"/>
        </w:numPr>
        <w:spacing w:after="70" w:line="264"/>
      </w:pPr>
      <w:r>
        <w:t xml:space="preserve">These recordings are a single behavioral condition; the paper's head-fixed vs free-moving contrast is out of scope.</w:t>
      </w:r>
    </w:p>
    <w:p>
      <w:pPr>
        <w:pStyle w:val="ListParagraph"/>
        <w:numPr>
          <w:ilvl w:val="0"/>
          <w:numId w:val="2"/>
        </w:numPr>
        <w:spacing w:after="70" w:line="264"/>
      </w:pPr>
      <w:r>
        <w:t xml:space="preserve">Depths are positions along the probe (ycoord, µm); absolute depth from the bulb surface is reported only where insertion depth is known.</w:t>
      </w:r>
    </w:p>
    <w:p>
      <w:pPr>
        <w:pStyle w:val="ListParagraph"/>
        <w:numPr>
          <w:ilvl w:val="0"/>
          <w:numId w:val="2"/>
        </w:numPr>
        <w:spacing w:after="70" w:line="264"/>
      </w:pPr>
      <w:r>
        <w:t xml:space="preserve">SNF is upsampled to the LFP rate for coherence; because theta (2–12 Hz) is far below the SNF Nyquist, this does not affect the theta-band result.</w:t>
      </w:r>
    </w:p>
    <w:p>
      <w:pPr>
        <w:pStyle w:val="ListParagraph"/>
        <w:numPr>
          <w:ilvl w:val="0"/>
          <w:numId w:val="2"/>
        </w:numPr>
        <w:spacing w:after="70" w:line="264"/>
      </w:pPr>
      <w:r>
        <w:t xml:space="preserve">Coherence estimates require enough control windows; sessions with fewer than 30 are excluded from the depth statistics and the exclusion is logged.</w:t>
      </w:r>
    </w:p>
    <w:p>
      <w:pPr>
        <w:pStyle w:val="Heading1"/>
        <w:spacing w:after="120" w:before="260"/>
      </w:pPr>
      <w:r>
        <w:rPr>
          <w:b/>
          <w:bCs/>
          <w:color w:val="1F4E79"/>
          <w:sz w:val="28"/>
          <w:szCs w:val="28"/>
        </w:rPr>
        <w:t xml:space="preserve">19. Data location</w:t>
      </w:r>
    </w:p>
    <w:p>
      <w:pPr>
        <w:spacing w:after="120" w:line="276"/>
        <w:jc w:val="both"/>
      </w:pPr>
      <w:r>
        <w:t xml:space="preserve">Pull data from the dated experiments under </w:t>
      </w:r>
      <w:r>
        <w:rPr>
          <w:rFonts w:ascii="Consolas" w:cs="Consolas" w:eastAsia="Consolas" w:hAnsi="Consolas"/>
          <w:b/>
          <w:bCs/>
        </w:rPr>
        <w:t xml:space="preserve">C:\Projects\Repos\Neuropixels\DATA</w:t>
      </w:r>
      <w:r>
        <w:t xml:space="preserve">, using the recording sessions dated 11/1/2021, 11/3/2021, 12/15/2021, 5/17/2022, 6/24/2022, and 9/14/2022, each restricted to control (non-ethanol) epochs.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4E79"/>
      </w:rPr>
    </w:lvl>
  </w:abstractNum>
  <w:abstractNum w:abstractNumId="3"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NP-PAPER-1 request</dc:title>
  <dc:creator>David Gire lab — research_workflow</dc:creator>
  <dc:description>LFP–sniff coherence across OB depth (Rafilson et al. 2024 Fig 1 replication)</dc:description>
  <cp:lastModifiedBy>Un-named</cp:lastModifiedBy>
  <cp:revision>1</cp:revision>
  <dcterms:created xsi:type="dcterms:W3CDTF">2026-07-25T00:53:13.432Z</dcterms:created>
  <dcterms:modified xsi:type="dcterms:W3CDTF">2026-07-25T00:53:13.443Z</dcterms:modified>
</cp:coreProperties>
</file>

<file path=docProps/custom.xml><?xml version="1.0" encoding="utf-8"?>
<Properties xmlns="http://schemas.openxmlformats.org/officeDocument/2006/custom-properties" xmlns:vt="http://schemas.openxmlformats.org/officeDocument/2006/docPropsVTypes"/>
</file>