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TEMPLATE · APPROACH &amp; METHODOLOGY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323D"/>
          <w:sz w:val="44"/>
          <w:szCs w:val="44"/>
        </w:rPr>
        <w:t xml:space="preserve">Engagement Approach Template</w:t>
      </w:r>
    </w:p>
    <w:p>
      <w:pPr>
        <w:spacing w:after="160"/>
      </w:pPr>
      <w:r>
        <w:rPr>
          <w:rFonts w:ascii="Arial" w:cs="Arial" w:eastAsia="Arial" w:hAnsi="Arial"/>
          <w:color w:val="3E6B7A"/>
          <w:sz w:val="24"/>
          <w:szCs w:val="24"/>
        </w:rPr>
        <w:t xml:space="preserve">Narrative methodology scaffold describing how the work is delivered</w:t>
      </w:r>
    </w:p>
    <w:p>
      <w:pPr>
        <w:pBdr>
          <w:bottom w:val="single" w:color="1F4E5F" w:sz="12" w:space="2"/>
        </w:pBdr>
        <w:spacing w:after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Template ID: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TPL-APPROACH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Template type: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Approach &amp; Methodology (text-only)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Section taxonomy: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6 sections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Placeholder slots: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15 slots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Version: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v3.2  ·  Status: Approved / locked  ·  Quality gate: PI ≥ 0.99 · SF ≥ 0.95</w:t>
      </w:r>
    </w:p>
    <w:p>
      <w:pPr>
        <w:spacing w:after="120"/>
      </w:pPr>
    </w:p>
    <w:p>
      <w:pPr>
        <w:pBdr>
          <w:left w:val="single" w:color="1F4E5F" w:sz="18" w:space="10"/>
        </w:pBdr>
        <w:shd w:fill="EAF1F3" w:val="clear"/>
        <w:spacing w:after="200" w:before="60" w:line="268"/>
        <w:ind w:left="220"/>
      </w:pPr>
      <w:r>
        <w:rPr>
          <w:rFonts w:ascii="Arial" w:cs="Arial" w:eastAsia="Arial" w:hAnsi="Arial"/>
          <w:b/>
          <w:bCs/>
          <w:color w:val="1F4E5F"/>
          <w:sz w:val="18"/>
          <w:szCs w:val="18"/>
        </w:rPr>
        <w:t xml:space="preserve">TEMPLATE USAGE  </w:t>
      </w:r>
      <w:r>
        <w:rPr>
          <w:rFonts w:ascii="Arial" w:cs="Arial" w:eastAsia="Arial" w:hAnsi="Arial"/>
          <w:sz w:val="20"/>
          <w:szCs w:val="20"/>
        </w:rPr>
        <w:t xml:space="preserve">This is a reusable text template (scaffold). Section IDs, headings and order are locked. Tokens in </w:t>
      </w: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{{double_braces}}</w:t>
      </w:r>
      <w:r>
        <w:rPr>
          <w:rFonts w:ascii="Arial" w:cs="Arial" w:eastAsia="Arial" w:hAnsi="Arial"/>
          <w:sz w:val="20"/>
          <w:szCs w:val="20"/>
        </w:rPr>
        <w:t xml:space="preserve"> are slots filled at generation; boilerplate stays verbatim. Carries no facts or client content and is not a source of fact.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APPR-01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Our philosophy</w:t>
      </w:r>
    </w:p>
    <w:p>
      <w:pPr>
        <w:pBdr>
          <w:left w:val="single" w:color="3E6B7A" w:sz="18" w:space="10"/>
        </w:pBdr>
        <w:shd w:fill="F1F6F7" w:val="clear"/>
        <w:spacing w:after="140" w:before="80" w:line="268"/>
        <w:ind w:left="220"/>
      </w:pPr>
      <w:r>
        <w:rPr>
          <w:rFonts w:ascii="Arial" w:cs="Arial" w:eastAsia="Arial" w:hAnsi="Arial"/>
          <w:b/>
          <w:bCs/>
          <w:color w:val="3E6B7A"/>
          <w:sz w:val="18"/>
          <w:szCs w:val="18"/>
        </w:rPr>
        <w:t xml:space="preserve">[BOILERPLATE]  </w:t>
      </w:r>
      <w:r>
        <w:rPr>
          <w:rFonts w:ascii="Arial" w:cs="Arial" w:eastAsia="Arial" w:hAnsi="Arial"/>
          <w:b w:val="false"/>
          <w:bCs w:val="false"/>
          <w:i/>
          <w:iCs/>
          <w:color w:val="202A30"/>
          <w:sz w:val="21"/>
          <w:szCs w:val="21"/>
        </w:rPr>
        <w:t xml:space="preserve">State the guiding principle in one sentence before describing the method. Keep this paragraph principle-led, not activity-led.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Our approach to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{{engagement_type}}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is built on a single principle: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{{guiding_principle}}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 In practice this means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{{principle_in_practice}}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 so that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{{client_name}}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achieves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{{intended_outcome}}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APPR-02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Method overview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We deliver the engagement through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{{phase_count}}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connected phases —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{{phase_names_list}}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— each ending in a clear decision point. The method is iterative: findings from each phase shape the next, and we review direction with you before proceeding.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APPR-03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Phase narrative</w:t>
      </w:r>
    </w:p>
    <w:p>
      <w:pPr>
        <w:pBdr>
          <w:left w:val="single" w:color="3E6B7A" w:sz="18" w:space="10"/>
        </w:pBdr>
        <w:shd w:fill="F1F6F7" w:val="clear"/>
        <w:spacing w:after="140" w:before="80" w:line="268"/>
        <w:ind w:left="220"/>
      </w:pPr>
      <w:r>
        <w:rPr>
          <w:rFonts w:ascii="Arial" w:cs="Arial" w:eastAsia="Arial" w:hAnsi="Arial"/>
          <w:b/>
          <w:bCs/>
          <w:color w:val="3E6B7A"/>
          <w:sz w:val="18"/>
          <w:szCs w:val="18"/>
        </w:rPr>
        <w:t xml:space="preserve">[BOILERPLATE]  </w:t>
      </w:r>
      <w:r>
        <w:rPr>
          <w:rFonts w:ascii="Arial" w:cs="Arial" w:eastAsia="Arial" w:hAnsi="Arial"/>
          <w:b w:val="false"/>
          <w:bCs w:val="false"/>
          <w:i/>
          <w:iCs/>
          <w:color w:val="202A30"/>
          <w:sz w:val="21"/>
          <w:szCs w:val="21"/>
        </w:rPr>
        <w:t xml:space="preserve">Describe each phase in one short paragraph: its purpose, the core activities, and the output it produces. Repeat the paragraph pattern per phase; do not introduce new structure.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Phase 1 —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{{phase_1_name}}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 The purpose of this phase is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{{phase_1_purpose}}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 We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{{phase_1_activities}}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 producing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{{phase_1_output}}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Phase 2 —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{{phase_2_name}}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 Building on phase 1, we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{{phase_2_activities}}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 producing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{{phase_2_output}}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Phase 3 —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{{phase_3_name}}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 To conclude, we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{{phase_3_activities}}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 producing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{{phase_3_output}}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APPR-04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How we work with you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Collaboration is central to our method. We will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{{collaboration_model}}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 maintaining a regular cadence of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{{review_cadence}}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reviews and a single point of contact. This keeps decisions fast and the work aligned to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{{client_name}}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's priorities.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APPR-05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Quality &amp; assurance</w:t>
      </w:r>
    </w:p>
    <w:p>
      <w:pPr>
        <w:pBdr>
          <w:left w:val="single" w:color="3E6B7A" w:sz="18" w:space="10"/>
        </w:pBdr>
        <w:shd w:fill="F1F6F7" w:val="clear"/>
        <w:spacing w:after="140" w:before="80" w:line="268"/>
        <w:ind w:left="220"/>
      </w:pPr>
      <w:r>
        <w:rPr>
          <w:rFonts w:ascii="Arial" w:cs="Arial" w:eastAsia="Arial" w:hAnsi="Arial"/>
          <w:b/>
          <w:bCs/>
          <w:color w:val="3E6B7A"/>
          <w:sz w:val="18"/>
          <w:szCs w:val="18"/>
        </w:rPr>
        <w:t xml:space="preserve">[BOILERPLATE]  </w:t>
      </w:r>
      <w:r>
        <w:rPr>
          <w:rFonts w:ascii="Arial" w:cs="Arial" w:eastAsia="Arial" w:hAnsi="Arial"/>
          <w:b w:val="false"/>
          <w:bCs w:val="false"/>
          <w:i/>
          <w:iCs/>
          <w:color w:val="202A30"/>
          <w:sz w:val="21"/>
          <w:szCs w:val="21"/>
        </w:rPr>
        <w:t xml:space="preserve">Every deliverable passes a two-stage internal review before it reaches the client. This assurance statement is fixed boilerplate; only the bracketed values are filled.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Quality is assured through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{{assurance_mechanism}}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 with senior review at each gate. We measure progress against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{{success_measure}}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agreed with you at the outset.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APPR-06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Timely access to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{{required_access}}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Availability of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{{required_stakeholders}}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for key sessions.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A nominated client sponsor empowered to make decisions at each gate.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APPR-99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Slot register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{{engagement_type}}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user input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{{guiding_principle}}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repo_proposals (style)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{{principle_in_practice}}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free text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{{client_name}}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engagement meta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{{intended_outcome}}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user input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{{phase_count}} / {{phase_names_list}}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mixed · computed / free text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{{phase_N_name}}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free text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{{phase_N_purpose}}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free text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{{phase_N_activities}}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free text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{{phase_N_output}}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free text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{{collaboration_model}}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repo_proposals (style)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{{review_cadence}}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org config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{{assurance_mechanism}}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org config / boilerplate fill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{{success_measure}}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user input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{{required_access}} / {{required_stakeholders}}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free text</w:t>
      </w:r>
    </w:p>
    <w:p>
      <w:pPr>
        <w:spacing w:before="220"/>
      </w:pPr>
      <w:r>
        <w:rPr>
          <w:rFonts w:ascii="Arial" w:cs="Arial" w:eastAsia="Arial" w:hAnsi="Arial"/>
          <w:i/>
          <w:iCs/>
          <w:color w:val="5E6F77"/>
          <w:sz w:val="16"/>
          <w:szCs w:val="16"/>
        </w:rPr>
        <w:t xml:space="preserve">Reusable proposal template created for system-testing of an internal proposal-generation platform. Contains structure, section IDs, slots and boilerplate only — no facts or client content. The authoring firm is fictional.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6DC" w:sz="6" w:space="4"/>
      </w:pBdr>
      <w:tabs>
        <w:tab w:val="center" w:pos="4680"/>
        <w:tab w:val="right" w:pos="9360"/>
      </w:tabs>
    </w:pPr>
    <w:r>
      <w:rPr>
        <w:rFonts w:ascii="Arial" w:cs="Arial" w:eastAsia="Arial" w:hAnsi="Arial"/>
        <w:b/>
        <w:bCs/>
        <w:color w:val="1F4E5F"/>
        <w:sz w:val="13"/>
        <w:szCs w:val="13"/>
      </w:rPr>
      <w:t xml:space="preserve">TEMPLATE · STRUCTURE LOCKED</w:t>
    </w:r>
    <w:r>
      <w:rPr>
        <w:rFonts w:ascii="Arial" w:cs="Arial" w:eastAsia="Arial" w:hAnsi="Arial"/>
        <w:color w:val="5E6F77"/>
        <w:sz w:val="13"/>
        <w:szCs w:val="13"/>
      </w:rPr>
      <w:t xml:space="preserve">	Slots {{ }} filled at generation · not a source of fact	</w:t>
    </w:r>
    <w:r>
      <w:rPr>
        <w:rFonts w:ascii="Arial" w:cs="Arial" w:eastAsia="Arial" w:hAnsi="Arial"/>
        <w:color w:val="5E6F77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6D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6323D"/>
        <w:sz w:val="14"/>
        <w:szCs w:val="14"/>
      </w:rPr>
      <w:t xml:space="preserve">HALSTEAD PARTNERS · PROPOSAL TEMPLATE LIBRARY</w:t>
    </w:r>
    <w:r>
      <w:rPr>
        <w:rFonts w:ascii="Arial" w:cs="Arial" w:eastAsia="Arial" w:hAnsi="Arial"/>
        <w:color w:val="5E6F77"/>
        <w:sz w:val="14"/>
        <w:szCs w:val="14"/>
      </w:rPr>
      <w:t xml:space="preserve">	Engagement Approach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A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6323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2026-06-05T14:14:39.729Z</dcterms:created>
  <dcterms:modified xsi:type="dcterms:W3CDTF">2026-06-05T14:14:39.729Z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