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
        <w:jc w:val="center"/>
      </w:pPr>
      <w:r>
        <w:rPr>
          <w:rFonts w:ascii="Arial" w:cs="Arial" w:eastAsia="Arial" w:hAnsi="Arial"/>
          <w:b/>
          <w:bCs/>
          <w:color w:val="1F3354"/>
          <w:spacing w:val="60"/>
          <w:sz w:val="40"/>
          <w:szCs w:val="40"/>
        </w:rPr>
        <w:t xml:space="preserve">HALSTEAD PARTNERS</w:t>
      </w:r>
    </w:p>
    <w:p>
      <w:pPr>
        <w:spacing w:after="600"/>
        <w:jc w:val="center"/>
      </w:pPr>
      <w:r>
        <w:rPr>
          <w:rFonts w:ascii="Arial" w:cs="Arial" w:eastAsia="Arial" w:hAnsi="Arial"/>
          <w:color w:val="C9A24B"/>
          <w:spacing w:val="80"/>
          <w:sz w:val="18"/>
          <w:szCs w:val="18"/>
        </w:rPr>
        <w:t xml:space="preserve">STRATEGIC ADVISORY  ·  CORPORATE FINANCE</w:t>
      </w:r>
    </w:p>
    <w:p>
      <w:pPr>
        <w:pBdr>
          <w:bottom w:val="single" w:color="C9A24B" w:sz="12" w:space="8"/>
        </w:pBdr>
        <w:spacing w:after="360"/>
      </w:pPr>
    </w:p>
    <w:p>
      <w:pPr>
        <w:spacing w:after="60"/>
        <w:jc w:val="center"/>
      </w:pPr>
      <w:r>
        <w:rPr>
          <w:rFonts w:ascii="Arial" w:cs="Arial" w:eastAsia="Arial" w:hAnsi="Arial"/>
          <w:color w:val="6B7280"/>
          <w:spacing w:val="40"/>
          <w:sz w:val="22"/>
          <w:szCs w:val="22"/>
        </w:rPr>
        <w:t xml:space="preserve">CONFIDENTIAL FINANCIAL PROPOSAL</w:t>
      </w:r>
    </w:p>
    <w:p>
      <w:pPr>
        <w:spacing w:after="40"/>
        <w:jc w:val="center"/>
      </w:pPr>
      <w:r>
        <w:rPr>
          <w:rFonts w:ascii="Arial" w:cs="Arial" w:eastAsia="Arial" w:hAnsi="Arial"/>
          <w:b/>
          <w:bCs/>
          <w:color w:val="1F3354"/>
          <w:sz w:val="52"/>
          <w:szCs w:val="52"/>
        </w:rPr>
        <w:t xml:space="preserve">Project Aurora</w:t>
      </w:r>
    </w:p>
    <w:p>
      <w:pPr>
        <w:spacing w:after="480"/>
        <w:jc w:val="center"/>
      </w:pPr>
      <w:r>
        <w:rPr>
          <w:rFonts w:ascii="Arial" w:cs="Arial" w:eastAsia="Arial" w:hAnsi="Arial"/>
          <w:color w:val="2E5C8A"/>
          <w:sz w:val="26"/>
          <w:szCs w:val="26"/>
        </w:rPr>
        <w:t xml:space="preserve">Business Case for a Next-Generation Smartwatch Line</w:t>
      </w:r>
    </w:p>
    <w:p>
      <w:pPr>
        <w:pBdr>
          <w:bottom w:val="single" w:color="C9A24B" w:sz="12" w:space="8"/>
        </w:pBdr>
        <w:spacing w:after="480"/>
      </w:pPr>
    </w:p>
    <w:p>
      <w:pPr>
        <w:spacing w:after="30"/>
        <w:jc w:val="center"/>
      </w:pPr>
      <w:r>
        <w:rPr>
          <w:rFonts w:ascii="Arial" w:cs="Arial" w:eastAsia="Arial" w:hAnsi="Arial"/>
          <w:color w:val="6B7280"/>
          <w:sz w:val="18"/>
          <w:szCs w:val="18"/>
        </w:rPr>
        <w:t xml:space="preserve">Prepared for</w:t>
      </w:r>
    </w:p>
    <w:p>
      <w:pPr>
        <w:spacing w:after="240"/>
        <w:jc w:val="center"/>
      </w:pPr>
      <w:r>
        <w:rPr>
          <w:rFonts w:ascii="Arial" w:cs="Arial" w:eastAsia="Arial" w:hAnsi="Arial"/>
          <w:b/>
          <w:bCs/>
          <w:color w:val="1F3354"/>
          <w:sz w:val="28"/>
          <w:szCs w:val="28"/>
        </w:rPr>
        <w:t xml:space="preserve">Apple Inc.</w:t>
      </w:r>
    </w:p>
    <w:p>
      <w:pPr>
        <w:spacing w:after="30"/>
        <w:jc w:val="center"/>
      </w:pPr>
      <w:r>
        <w:rPr>
          <w:rFonts w:ascii="Arial" w:cs="Arial" w:eastAsia="Arial" w:hAnsi="Arial"/>
          <w:color w:val="6B7280"/>
          <w:sz w:val="18"/>
          <w:szCs w:val="18"/>
        </w:rPr>
        <w:t xml:space="preserve">Prepared by</w:t>
      </w:r>
    </w:p>
    <w:p>
      <w:pPr>
        <w:spacing w:after="600"/>
        <w:jc w:val="center"/>
      </w:pPr>
      <w:r>
        <w:rPr>
          <w:rFonts w:ascii="Arial" w:cs="Arial" w:eastAsia="Arial" w:hAnsi="Arial"/>
          <w:color w:val="1F3354"/>
          <w:sz w:val="22"/>
          <w:szCs w:val="22"/>
        </w:rPr>
        <w:t xml:space="preserve">Halstead Partners LLP  ·  Corporate Finance Group</w:t>
      </w:r>
    </w:p>
    <w:p>
      <w:pPr>
        <w:jc w:val="center"/>
      </w:pPr>
      <w:r>
        <w:rPr>
          <w:rFonts w:ascii="Arial" w:cs="Arial" w:eastAsia="Arial" w:hAnsi="Arial"/>
          <w:color w:val="6B7280"/>
          <w:sz w:val="18"/>
          <w:szCs w:val="18"/>
        </w:rPr>
        <w:t xml:space="preserve">June 2026  ·  Reference: HP-AAPL-2026-014</w:t>
      </w:r>
    </w:p>
    <w:p>
      <w:pPr>
        <w:spacing w:before="700"/>
        <w:jc w:val="center"/>
      </w:pPr>
      <w:r>
        <w:rPr>
          <w:rFonts w:ascii="Arial" w:cs="Arial" w:eastAsia="Arial" w:hAnsi="Arial"/>
          <w:i/>
          <w:iCs/>
          <w:color w:val="6B7280"/>
          <w:sz w:val="16"/>
          <w:szCs w:val="16"/>
        </w:rPr>
        <w:t xml:space="preserve">ILLUSTRATIVE / SAMPLE DOCUMENT — All figures are fictional and for demonstration only.</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pBdr>
          <w:bottom w:val="single" w:color="C9A24B" w:sz="6" w:space="1"/>
        </w:pBdr>
        <w:spacing w:after="120"/>
      </w:pPr>
      <w:r>
        <w:t xml:space="preserve"/>
      </w:r>
    </w:p>
    <w:p>
      <w:pPr>
        <w:spacing w:after="140" w:line="276"/>
      </w:pPr>
      <w:r>
        <w:rPr>
          <w:rFonts w:ascii="Arial" w:cs="Arial" w:eastAsia="Arial" w:hAnsi="Arial"/>
          <w:sz w:val="21"/>
          <w:szCs w:val="21"/>
        </w:rPr>
        <w:t xml:space="preserve">Halstead Partners has been engaged to evaluate the financial viability of a new wearable device program, referenced internally as Project Aurora — a premium, health-centric smartwatch positioned within Apple’s existing Apple Watch family. This proposal sets out the market rationale, a five-year financial model, the capital required to bring the product to market, and the expected risk-adjusted returns.</w:t>
      </w:r>
    </w:p>
    <w:p>
      <w:pPr>
        <w:spacing w:after="140" w:line="276"/>
      </w:pPr>
      <w:r>
        <w:rPr>
          <w:rFonts w:ascii="Arial" w:cs="Arial" w:eastAsia="Arial" w:hAnsi="Arial"/>
          <w:b/>
          <w:bCs/>
          <w:sz w:val="21"/>
          <w:szCs w:val="21"/>
        </w:rPr>
        <w:t xml:space="preserve">Recommendation. </w:t>
      </w:r>
      <w:r>
        <w:rPr>
          <w:rFonts w:ascii="Arial" w:cs="Arial" w:eastAsia="Arial" w:hAnsi="Arial"/>
          <w:sz w:val="21"/>
          <w:szCs w:val="21"/>
        </w:rPr>
        <w:t xml:space="preserve">We recommend that Apple proceed with Project Aurora. Under our base case, the program generates cumulative operating income of approximately $9.7bn over five years on a peak-year revenue of roughly $11.1bn, with a net present value of about $3.0bn and an internal rate of return of approximately 44%.</w:t>
      </w:r>
    </w:p>
    <w:p>
      <w:pPr>
        <w:pStyle w:val="Heading2"/>
      </w:pPr>
      <w:r>
        <w:t xml:space="preserve">Headline Metrics (Base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Metric</w:t>
            </w:r>
          </w:p>
        </w:tc>
        <w:tc>
          <w:tcPr>
            <w:tcW w:type="dxa" w:w="300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Value</w:t>
            </w:r>
          </w:p>
        </w:tc>
      </w:tr>
      <w:tr>
        <w:tc>
          <w:tcPr>
            <w:tcW w:type="dxa" w:w="636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Initial investment required</w:t>
            </w:r>
          </w:p>
        </w:tc>
        <w:tc>
          <w:tcPr>
            <w:tcW w:type="dxa" w:w="30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$2.20bn</w:t>
            </w:r>
          </w:p>
        </w:tc>
      </w:tr>
      <w:tr>
        <w:tc>
          <w:tcPr>
            <w:tcW w:type="dxa" w:w="636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Year 1 revenue</w:t>
            </w:r>
          </w:p>
        </w:tc>
        <w:tc>
          <w:tcPr>
            <w:tcW w:type="dxa" w:w="30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$4.79bn</w:t>
            </w:r>
          </w:p>
        </w:tc>
      </w:tr>
      <w:tr>
        <w:tc>
          <w:tcPr>
            <w:tcW w:type="dxa" w:w="636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Year 5 revenue</w:t>
            </w:r>
          </w:p>
        </w:tc>
        <w:tc>
          <w:tcPr>
            <w:tcW w:type="dxa" w:w="30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$11.13bn</w:t>
            </w:r>
          </w:p>
        </w:tc>
      </w:tr>
      <w:tr>
        <w:tc>
          <w:tcPr>
            <w:tcW w:type="dxa" w:w="636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Cumulative 5-year operating income</w:t>
            </w:r>
          </w:p>
        </w:tc>
        <w:tc>
          <w:tcPr>
            <w:tcW w:type="dxa" w:w="30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$9.73bn</w:t>
            </w:r>
          </w:p>
        </w:tc>
      </w:tr>
      <w:tr>
        <w:tc>
          <w:tcPr>
            <w:tcW w:type="dxa" w:w="636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Net present value (10% discount)</w:t>
            </w:r>
          </w:p>
        </w:tc>
        <w:tc>
          <w:tcPr>
            <w:tcW w:type="dxa" w:w="30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$3.02bn</w:t>
            </w:r>
          </w:p>
        </w:tc>
      </w:tr>
      <w:tr>
        <w:tc>
          <w:tcPr>
            <w:tcW w:type="dxa" w:w="636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Internal rate of return (IRR)</w:t>
            </w:r>
          </w:p>
        </w:tc>
        <w:tc>
          <w:tcPr>
            <w:tcW w:type="dxa" w:w="30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~44%</w:t>
            </w:r>
          </w:p>
        </w:tc>
      </w:tr>
      <w:tr>
        <w:tc>
          <w:tcPr>
            <w:tcW w:type="dxa" w:w="636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Payback period</w:t>
            </w:r>
          </w:p>
        </w:tc>
        <w:tc>
          <w:tcPr>
            <w:tcW w:type="dxa" w:w="30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~2.6 years</w:t>
            </w:r>
          </w:p>
        </w:tc>
      </w:tr>
    </w:tbl>
    <w:p>
      <w:pPr>
        <w:spacing w:after="60" w:line="276"/>
      </w:pPr>
      <w:r>
        <w:rPr>
          <w:rFonts w:ascii="Arial" w:cs="Arial" w:eastAsia="Arial" w:hAnsi="Arial"/>
          <w:sz w:val="21"/>
          <w:szCs w:val="21"/>
        </w:rPr>
        <w:t xml:space="preserve"/>
      </w:r>
    </w:p>
    <w:p>
      <w:pPr>
        <w:spacing w:after="140" w:line="276"/>
      </w:pPr>
      <w:r>
        <w:rPr>
          <w:rFonts w:ascii="Arial" w:cs="Arial" w:eastAsia="Arial" w:hAnsi="Arial"/>
          <w:sz w:val="21"/>
          <w:szCs w:val="21"/>
        </w:rPr>
        <w:t xml:space="preserve">The analysis that follows is presented as an illustrative business case. The figures are fictional and intended to demonstrate the structure of a Halstead Partners financial proposal rather than to reflect actual Apple Inc. financial data or forecasts.</w:t>
      </w:r>
    </w:p>
    <w:p>
      <w:pPr>
        <w:pStyle w:val="Heading1"/>
        <w:pageBreakBefore/>
      </w:pPr>
      <w:r>
        <w:t xml:space="preserve">2. Market Opportunity</w:t>
      </w:r>
    </w:p>
    <w:p>
      <w:pPr>
        <w:pBdr>
          <w:bottom w:val="single" w:color="C9A24B" w:sz="6" w:space="1"/>
        </w:pBdr>
        <w:spacing w:after="120"/>
      </w:pPr>
      <w:r>
        <w:t xml:space="preserve"/>
      </w:r>
    </w:p>
    <w:p>
      <w:pPr>
        <w:spacing w:after="140" w:line="276"/>
      </w:pPr>
      <w:r>
        <w:rPr>
          <w:rFonts w:ascii="Arial" w:cs="Arial" w:eastAsia="Arial" w:hAnsi="Arial"/>
          <w:sz w:val="21"/>
          <w:szCs w:val="21"/>
        </w:rPr>
        <w:t xml:space="preserve">The global smartwatch market continues to expand on the back of growing consumer interest in continuous health monitoring, fitness tracking, and untethered connectivity. Project Aurora is designed to capture share at the premium end of this market while deepening engagement with Apple’s services ecosystem.</w:t>
      </w:r>
    </w:p>
    <w:p>
      <w:pPr>
        <w:pStyle w:val="Heading2"/>
      </w:pPr>
      <w:r>
        <w:t xml:space="preserve">Why now</w:t>
      </w:r>
    </w:p>
    <w:p>
      <w:pPr>
        <w:pStyle w:val="ListParagraph"/>
        <w:numPr>
          <w:ilvl w:val="0"/>
          <w:numId w:val="2"/>
        </w:numPr>
        <w:spacing w:after="80" w:line="270"/>
      </w:pPr>
      <w:r>
        <w:rPr>
          <w:rFonts w:ascii="Arial" w:cs="Arial" w:eastAsia="Arial" w:hAnsi="Arial"/>
          <w:sz w:val="21"/>
          <w:szCs w:val="21"/>
        </w:rPr>
        <w:t xml:space="preserve">Health monitoring has shifted from a niche feature to a primary purchase driver, opening room for differentiated sensor suites and clinical-grade metrics.</w:t>
      </w:r>
    </w:p>
    <w:p>
      <w:pPr>
        <w:pStyle w:val="ListParagraph"/>
        <w:numPr>
          <w:ilvl w:val="0"/>
          <w:numId w:val="2"/>
        </w:numPr>
        <w:spacing w:after="80" w:line="270"/>
      </w:pPr>
      <w:r>
        <w:rPr>
          <w:rFonts w:ascii="Arial" w:cs="Arial" w:eastAsia="Arial" w:hAnsi="Arial"/>
          <w:sz w:val="21"/>
          <w:szCs w:val="21"/>
        </w:rPr>
        <w:t xml:space="preserve">Replacement cycles for premium wearables are shortening as customers upgrade for new health and connectivity capabilities.</w:t>
      </w:r>
    </w:p>
    <w:p>
      <w:pPr>
        <w:pStyle w:val="ListParagraph"/>
        <w:numPr>
          <w:ilvl w:val="0"/>
          <w:numId w:val="2"/>
        </w:numPr>
        <w:spacing w:after="80" w:line="270"/>
      </w:pPr>
      <w:r>
        <w:rPr>
          <w:rFonts w:ascii="Arial" w:cs="Arial" w:eastAsia="Arial" w:hAnsi="Arial"/>
          <w:sz w:val="21"/>
          <w:szCs w:val="21"/>
        </w:rPr>
        <w:t xml:space="preserve">Wearables act as a high-margin gateway into recurring services revenue (subscriptions, health programs, and accessories).</w:t>
      </w:r>
    </w:p>
    <w:p>
      <w:pPr>
        <w:pStyle w:val="ListParagraph"/>
        <w:numPr>
          <w:ilvl w:val="0"/>
          <w:numId w:val="2"/>
        </w:numPr>
        <w:spacing w:after="80" w:line="270"/>
      </w:pPr>
      <w:r>
        <w:rPr>
          <w:rFonts w:ascii="Arial" w:cs="Arial" w:eastAsia="Arial" w:hAnsi="Arial"/>
          <w:sz w:val="21"/>
          <w:szCs w:val="21"/>
        </w:rPr>
        <w:t xml:space="preserve">Competitive intensity at the low end is rising, reinforcing the case for a clearly premium, ecosystem-locked offering.</w:t>
      </w:r>
    </w:p>
    <w:p>
      <w:pPr>
        <w:pStyle w:val="Heading2"/>
      </w:pPr>
      <w:r>
        <w:t xml:space="preserve">Addressable market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Segment</w:t>
            </w:r>
          </w:p>
        </w:tc>
        <w:tc>
          <w:tcPr>
            <w:tcW w:type="dxa" w:w="180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2026</w:t>
            </w:r>
          </w:p>
        </w:tc>
        <w:tc>
          <w:tcPr>
            <w:tcW w:type="dxa" w:w="180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2029</w:t>
            </w:r>
          </w:p>
        </w:tc>
        <w:tc>
          <w:tcPr>
            <w:tcW w:type="dxa" w:w="180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CAGR</w:t>
            </w:r>
          </w:p>
        </w:tc>
      </w:tr>
      <w:tr>
        <w:tc>
          <w:tcPr>
            <w:tcW w:type="dxa" w:w="396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Total wearables units (m)</w:t>
            </w:r>
          </w:p>
        </w:tc>
        <w:tc>
          <w:tcPr>
            <w:tcW w:type="dxa" w:w="18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535</w:t>
            </w:r>
          </w:p>
        </w:tc>
        <w:tc>
          <w:tcPr>
            <w:tcW w:type="dxa" w:w="18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742</w:t>
            </w:r>
          </w:p>
        </w:tc>
        <w:tc>
          <w:tcPr>
            <w:tcW w:type="dxa" w:w="18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11.5%</w:t>
            </w:r>
          </w:p>
        </w:tc>
      </w:tr>
      <w:tr>
        <w:tc>
          <w:tcPr>
            <w:tcW w:type="dxa" w:w="396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Premium smartwatch units (m)</w:t>
            </w:r>
          </w:p>
        </w:tc>
        <w:tc>
          <w:tcPr>
            <w:tcW w:type="dxa" w:w="18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118</w:t>
            </w:r>
          </w:p>
        </w:tc>
        <w:tc>
          <w:tcPr>
            <w:tcW w:type="dxa" w:w="18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186</w:t>
            </w:r>
          </w:p>
        </w:tc>
        <w:tc>
          <w:tcPr>
            <w:tcW w:type="dxa" w:w="18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16.4%</w:t>
            </w:r>
          </w:p>
        </w:tc>
      </w:tr>
      <w:tr>
        <w:tc>
          <w:tcPr>
            <w:tcW w:type="dxa" w:w="396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Premium smartwatch value ($bn)</w:t>
            </w:r>
          </w:p>
        </w:tc>
        <w:tc>
          <w:tcPr>
            <w:tcW w:type="dxa" w:w="18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47.2</w:t>
            </w:r>
          </w:p>
        </w:tc>
        <w:tc>
          <w:tcPr>
            <w:tcW w:type="dxa" w:w="18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78.9</w:t>
            </w:r>
          </w:p>
        </w:tc>
        <w:tc>
          <w:tcPr>
            <w:tcW w:type="dxa" w:w="18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18.7%</w:t>
            </w:r>
          </w:p>
        </w:tc>
      </w:tr>
      <w:tr>
        <w:tc>
          <w:tcPr>
            <w:tcW w:type="dxa" w:w="3960"/>
            <w:tcBorders>
              <w:top w:val="single" w:color="CCD6E0" w:sz="1"/>
              <w:left w:val="single" w:color="CCD6E0" w:sz="1"/>
              <w:bottom w:val="single" w:color="CCD6E0" w:sz="1"/>
              <w:right w:val="single" w:color="CCD6E0" w:sz="1"/>
            </w:tcBorders>
            <w:shd w:fill="EAF0F6" w:val="clear"/>
            <w:tcMar>
              <w:top w:type="dxa" w:w="70"/>
              <w:left w:type="dxa" w:w="120"/>
              <w:bottom w:type="dxa" w:w="70"/>
              <w:right w:type="dxa" w:w="120"/>
            </w:tcMar>
            <w:vAlign w:val="center"/>
          </w:tcPr>
          <w:p>
            <w:pPr>
              <w:jc w:val="left"/>
            </w:pPr>
            <w:r>
              <w:rPr>
                <w:rFonts w:ascii="Arial" w:cs="Arial" w:eastAsia="Arial" w:hAnsi="Arial"/>
                <w:b/>
                <w:bCs/>
                <w:color w:val="1A1A1A"/>
                <w:sz w:val="19"/>
                <w:szCs w:val="19"/>
              </w:rPr>
              <w:t xml:space="preserve">Target serviceable segment ($bn)</w:t>
            </w:r>
          </w:p>
        </w:tc>
        <w:tc>
          <w:tcPr>
            <w:tcW w:type="dxa" w:w="1800"/>
            <w:tcBorders>
              <w:top w:val="single" w:color="CCD6E0" w:sz="1"/>
              <w:left w:val="single" w:color="CCD6E0" w:sz="1"/>
              <w:bottom w:val="single" w:color="CCD6E0" w:sz="1"/>
              <w:right w:val="single" w:color="CCD6E0" w:sz="1"/>
            </w:tcBorders>
            <w:shd w:fill="EAF0F6" w:val="clear"/>
            <w:tcMar>
              <w:top w:type="dxa" w:w="70"/>
              <w:left w:type="dxa" w:w="120"/>
              <w:bottom w:type="dxa" w:w="70"/>
              <w:right w:type="dxa" w:w="120"/>
            </w:tcMar>
            <w:vAlign w:val="center"/>
          </w:tcPr>
          <w:p>
            <w:pPr>
              <w:jc w:val="right"/>
            </w:pPr>
            <w:r>
              <w:rPr>
                <w:rFonts w:ascii="Arial" w:cs="Arial" w:eastAsia="Arial" w:hAnsi="Arial"/>
                <w:b/>
                <w:bCs/>
                <w:color w:val="1A1A1A"/>
                <w:sz w:val="19"/>
                <w:szCs w:val="19"/>
              </w:rPr>
              <w:t xml:space="preserve">12.4</w:t>
            </w:r>
          </w:p>
        </w:tc>
        <w:tc>
          <w:tcPr>
            <w:tcW w:type="dxa" w:w="1800"/>
            <w:tcBorders>
              <w:top w:val="single" w:color="CCD6E0" w:sz="1"/>
              <w:left w:val="single" w:color="CCD6E0" w:sz="1"/>
              <w:bottom w:val="single" w:color="CCD6E0" w:sz="1"/>
              <w:right w:val="single" w:color="CCD6E0" w:sz="1"/>
            </w:tcBorders>
            <w:shd w:fill="EAF0F6" w:val="clear"/>
            <w:tcMar>
              <w:top w:type="dxa" w:w="70"/>
              <w:left w:type="dxa" w:w="120"/>
              <w:bottom w:type="dxa" w:w="70"/>
              <w:right w:type="dxa" w:w="120"/>
            </w:tcMar>
            <w:vAlign w:val="center"/>
          </w:tcPr>
          <w:p>
            <w:pPr>
              <w:jc w:val="right"/>
            </w:pPr>
            <w:r>
              <w:rPr>
                <w:rFonts w:ascii="Arial" w:cs="Arial" w:eastAsia="Arial" w:hAnsi="Arial"/>
                <w:b/>
                <w:bCs/>
                <w:color w:val="1A1A1A"/>
                <w:sz w:val="19"/>
                <w:szCs w:val="19"/>
              </w:rPr>
              <w:t xml:space="preserve">22.6</w:t>
            </w:r>
          </w:p>
        </w:tc>
        <w:tc>
          <w:tcPr>
            <w:tcW w:type="dxa" w:w="1800"/>
            <w:tcBorders>
              <w:top w:val="single" w:color="CCD6E0" w:sz="1"/>
              <w:left w:val="single" w:color="CCD6E0" w:sz="1"/>
              <w:bottom w:val="single" w:color="CCD6E0" w:sz="1"/>
              <w:right w:val="single" w:color="CCD6E0" w:sz="1"/>
            </w:tcBorders>
            <w:shd w:fill="EAF0F6" w:val="clear"/>
            <w:tcMar>
              <w:top w:type="dxa" w:w="70"/>
              <w:left w:type="dxa" w:w="120"/>
              <w:bottom w:type="dxa" w:w="70"/>
              <w:right w:type="dxa" w:w="120"/>
            </w:tcMar>
            <w:vAlign w:val="center"/>
          </w:tcPr>
          <w:p>
            <w:pPr>
              <w:jc w:val="right"/>
            </w:pPr>
            <w:r>
              <w:rPr>
                <w:rFonts w:ascii="Arial" w:cs="Arial" w:eastAsia="Arial" w:hAnsi="Arial"/>
                <w:b/>
                <w:bCs/>
                <w:color w:val="1A1A1A"/>
                <w:sz w:val="19"/>
                <w:szCs w:val="19"/>
              </w:rPr>
              <w:t xml:space="preserve">22.1%</w:t>
            </w:r>
          </w:p>
        </w:tc>
      </w:tr>
    </w:tbl>
    <w:p>
      <w:pPr>
        <w:spacing w:after="40" w:line="276"/>
      </w:pPr>
      <w:r>
        <w:rPr>
          <w:rFonts w:ascii="Arial" w:cs="Arial" w:eastAsia="Arial" w:hAnsi="Arial"/>
          <w:sz w:val="21"/>
          <w:szCs w:val="21"/>
        </w:rPr>
        <w:t xml:space="preserve"/>
      </w:r>
    </w:p>
    <w:p>
      <w:pPr>
        <w:spacing w:after="140" w:line="276"/>
      </w:pPr>
      <w:r>
        <w:rPr>
          <w:rFonts w:ascii="Arial" w:cs="Arial" w:eastAsia="Arial" w:hAnsi="Arial"/>
          <w:sz w:val="21"/>
          <w:szCs w:val="21"/>
        </w:rPr>
        <w:t xml:space="preserve">Project Aurora targets a mid-single-digit share of the premium segment by Year 5, a level we consider achievable given Apple’s brand strength, retail footprint, and installed base of compatible devices.</w:t>
      </w:r>
    </w:p>
    <w:p>
      <w:pPr>
        <w:pStyle w:val="Heading1"/>
        <w:pageBreakBefore/>
      </w:pPr>
      <w:r>
        <w:t xml:space="preserve">3. Product Overview</w:t>
      </w:r>
    </w:p>
    <w:p>
      <w:pPr>
        <w:pBdr>
          <w:bottom w:val="single" w:color="C9A24B" w:sz="6" w:space="1"/>
        </w:pBdr>
        <w:spacing w:after="120"/>
      </w:pPr>
      <w:r>
        <w:t xml:space="preserve"/>
      </w:r>
    </w:p>
    <w:p>
      <w:pPr>
        <w:spacing w:after="140" w:line="276"/>
      </w:pPr>
      <w:r>
        <w:rPr>
          <w:rFonts w:ascii="Arial" w:cs="Arial" w:eastAsia="Arial" w:hAnsi="Arial"/>
          <w:sz w:val="21"/>
          <w:szCs w:val="21"/>
        </w:rPr>
        <w:t xml:space="preserve">Project Aurora is conceived as a flagship health and wellness smartwatch, sold alongside the existing line and priced to anchor the premium tier. The device pairs an upgraded sensor array with extended battery life and deeper integration into Apple’s health and services platforms.</w:t>
      </w:r>
    </w:p>
    <w:p>
      <w:pPr>
        <w:pStyle w:val="Heading2"/>
      </w:pPr>
      <w:r>
        <w:t xml:space="preserve">Proposed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5000"/>
      </w:tblGrid>
      <w:tr>
        <w:trPr>
          <w:tblHeader/>
        </w:trPr>
        <w:tc>
          <w:tcPr>
            <w:tcW w:type="dxa" w:w="436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Attribute</w:t>
            </w:r>
          </w:p>
        </w:tc>
        <w:tc>
          <w:tcPr>
            <w:tcW w:type="dxa" w:w="500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Proposal</w:t>
            </w:r>
          </w:p>
        </w:tc>
      </w:tr>
      <w:tr>
        <w:tc>
          <w:tcPr>
            <w:tcW w:type="dxa" w:w="436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Tier</w:t>
            </w:r>
          </w:p>
        </w:tc>
        <w:tc>
          <w:tcPr>
            <w:tcW w:type="dxa" w:w="50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Premium flagship</w:t>
            </w:r>
          </w:p>
        </w:tc>
      </w:tr>
      <w:tr>
        <w:tc>
          <w:tcPr>
            <w:tcW w:type="dxa" w:w="436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Launch average selling price (ASP)</w:t>
            </w:r>
          </w:p>
        </w:tc>
        <w:tc>
          <w:tcPr>
            <w:tcW w:type="dxa" w:w="50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$399</w:t>
            </w:r>
          </w:p>
        </w:tc>
      </w:tr>
      <w:tr>
        <w:tc>
          <w:tcPr>
            <w:tcW w:type="dxa" w:w="436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Primary differentiators</w:t>
            </w:r>
          </w:p>
        </w:tc>
        <w:tc>
          <w:tcPr>
            <w:tcW w:type="dxa" w:w="50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Advanced health sensors, multi-day battery</w:t>
            </w:r>
          </w:p>
        </w:tc>
      </w:tr>
      <w:tr>
        <w:tc>
          <w:tcPr>
            <w:tcW w:type="dxa" w:w="436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Target customer</w:t>
            </w:r>
          </w:p>
        </w:tc>
        <w:tc>
          <w:tcPr>
            <w:tcW w:type="dxa" w:w="50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Health-focused, ecosystem-loyal upgraders</w:t>
            </w:r>
          </w:p>
        </w:tc>
      </w:tr>
      <w:tr>
        <w:tc>
          <w:tcPr>
            <w:tcW w:type="dxa" w:w="436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Distribution</w:t>
            </w:r>
          </w:p>
        </w:tc>
        <w:tc>
          <w:tcPr>
            <w:tcW w:type="dxa" w:w="50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Direct retail, online, carrier, and channel partners</w:t>
            </w:r>
          </w:p>
        </w:tc>
      </w:tr>
      <w:tr>
        <w:tc>
          <w:tcPr>
            <w:tcW w:type="dxa" w:w="436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Launch window</w:t>
            </w:r>
          </w:p>
        </w:tc>
        <w:tc>
          <w:tcPr>
            <w:tcW w:type="dxa" w:w="50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Fiscal Year 2027 (Year 1 of model)</w:t>
            </w:r>
          </w:p>
        </w:tc>
      </w:tr>
    </w:tbl>
    <w:p>
      <w:pPr>
        <w:spacing w:after="40" w:line="276"/>
      </w:pPr>
      <w:r>
        <w:rPr>
          <w:rFonts w:ascii="Arial" w:cs="Arial" w:eastAsia="Arial" w:hAnsi="Arial"/>
          <w:sz w:val="21"/>
          <w:szCs w:val="21"/>
        </w:rPr>
        <w:t xml:space="preserve"/>
      </w:r>
    </w:p>
    <w:p>
      <w:pPr>
        <w:spacing w:after="140" w:line="276"/>
      </w:pPr>
      <w:r>
        <w:rPr>
          <w:rFonts w:ascii="Arial" w:cs="Arial" w:eastAsia="Arial" w:hAnsi="Arial"/>
          <w:sz w:val="21"/>
          <w:szCs w:val="21"/>
        </w:rPr>
        <w:t xml:space="preserve">The commercial model assumes a gradual ASP taper across the forecast period as the line matures and mix broadens, partially offset by improving unit economics as manufacturing scales.</w:t>
      </w:r>
    </w:p>
    <w:p>
      <w:pPr>
        <w:pStyle w:val="Heading1"/>
        <w:pageBreakBefore/>
      </w:pPr>
      <w:r>
        <w:t xml:space="preserve">4. Financial Projections</w:t>
      </w:r>
    </w:p>
    <w:p>
      <w:pPr>
        <w:pBdr>
          <w:bottom w:val="single" w:color="C9A24B" w:sz="6" w:space="1"/>
        </w:pBdr>
        <w:spacing w:after="120"/>
      </w:pPr>
      <w:r>
        <w:t xml:space="preserve"/>
      </w:r>
    </w:p>
    <w:p>
      <w:pPr>
        <w:spacing w:after="140" w:line="276"/>
      </w:pPr>
      <w:r>
        <w:rPr>
          <w:rFonts w:ascii="Arial" w:cs="Arial" w:eastAsia="Arial" w:hAnsi="Arial"/>
          <w:sz w:val="21"/>
          <w:szCs w:val="21"/>
        </w:rPr>
        <w:t xml:space="preserve">The five-year model below is built bottom-up from unit volume and average selling price, with gross margin and operating expense ratios improving as the program scales. All figures are illustrative and expressed in US dollars.</w:t>
      </w:r>
    </w:p>
    <w:p>
      <w:pPr>
        <w:pStyle w:val="Heading2"/>
      </w:pPr>
      <w:r>
        <w:t xml:space="preserve">4.1  Volume &amp;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
            </w:r>
          </w:p>
        </w:tc>
        <w:tc>
          <w:tcPr>
            <w:tcW w:type="dxa" w:w="144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Year 1</w:t>
            </w:r>
          </w:p>
        </w:tc>
        <w:tc>
          <w:tcPr>
            <w:tcW w:type="dxa" w:w="144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Year 2</w:t>
            </w:r>
          </w:p>
        </w:tc>
        <w:tc>
          <w:tcPr>
            <w:tcW w:type="dxa" w:w="144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Year 3</w:t>
            </w:r>
          </w:p>
        </w:tc>
        <w:tc>
          <w:tcPr>
            <w:tcW w:type="dxa" w:w="144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Year 4</w:t>
            </w:r>
          </w:p>
        </w:tc>
        <w:tc>
          <w:tcPr>
            <w:tcW w:type="dxa" w:w="144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Year 5</w:t>
            </w:r>
          </w:p>
        </w:tc>
      </w:tr>
      <w:tr>
        <w:tc>
          <w:tcPr>
            <w:tcW w:type="dxa" w:w="216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1A"/>
                <w:sz w:val="19"/>
                <w:szCs w:val="19"/>
              </w:rPr>
              <w:t xml:space="preserve">Units (m)</w:t>
            </w:r>
          </w:p>
        </w:tc>
        <w:tc>
          <w:tcPr>
            <w:tcW w:type="dxa" w:w="144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12.0</w:t>
            </w:r>
          </w:p>
        </w:tc>
        <w:tc>
          <w:tcPr>
            <w:tcW w:type="dxa" w:w="144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18.0</w:t>
            </w:r>
          </w:p>
        </w:tc>
        <w:tc>
          <w:tcPr>
            <w:tcW w:type="dxa" w:w="144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24.0</w:t>
            </w:r>
          </w:p>
        </w:tc>
        <w:tc>
          <w:tcPr>
            <w:tcW w:type="dxa" w:w="144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28.0</w:t>
            </w:r>
          </w:p>
        </w:tc>
        <w:tc>
          <w:tcPr>
            <w:tcW w:type="dxa" w:w="144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31.0</w:t>
            </w:r>
          </w:p>
        </w:tc>
      </w:tr>
      <w:tr>
        <w:tc>
          <w:tcPr>
            <w:tcW w:type="dxa" w:w="216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left"/>
            </w:pPr>
            <w:r>
              <w:rPr>
                <w:rFonts w:ascii="Arial" w:cs="Arial" w:eastAsia="Arial" w:hAnsi="Arial"/>
                <w:b/>
                <w:bCs/>
                <w:color w:val="1A1A1A"/>
                <w:sz w:val="19"/>
                <w:szCs w:val="19"/>
              </w:rPr>
              <w:t xml:space="preserve">ASP ($)</w:t>
            </w:r>
          </w:p>
        </w:tc>
        <w:tc>
          <w:tcPr>
            <w:tcW w:type="dxa" w:w="144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399</w:t>
            </w:r>
          </w:p>
        </w:tc>
        <w:tc>
          <w:tcPr>
            <w:tcW w:type="dxa" w:w="144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389</w:t>
            </w:r>
          </w:p>
        </w:tc>
        <w:tc>
          <w:tcPr>
            <w:tcW w:type="dxa" w:w="144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379</w:t>
            </w:r>
          </w:p>
        </w:tc>
        <w:tc>
          <w:tcPr>
            <w:tcW w:type="dxa" w:w="144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369</w:t>
            </w:r>
          </w:p>
        </w:tc>
        <w:tc>
          <w:tcPr>
            <w:tcW w:type="dxa" w:w="144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359</w:t>
            </w:r>
          </w:p>
        </w:tc>
      </w:tr>
      <w:tr>
        <w:tc>
          <w:tcPr>
            <w:tcW w:type="dxa" w:w="2160"/>
            <w:tcBorders>
              <w:top w:val="single" w:color="CCD6E0" w:sz="1"/>
              <w:left w:val="single" w:color="CCD6E0" w:sz="1"/>
              <w:bottom w:val="single" w:color="CCD6E0" w:sz="1"/>
              <w:right w:val="single" w:color="CCD6E0" w:sz="1"/>
            </w:tcBorders>
            <w:shd w:fill="EAF0F6" w:val="clear"/>
            <w:tcMar>
              <w:top w:type="dxa" w:w="70"/>
              <w:left w:type="dxa" w:w="120"/>
              <w:bottom w:type="dxa" w:w="70"/>
              <w:right w:type="dxa" w:w="120"/>
            </w:tcMar>
            <w:vAlign w:val="center"/>
          </w:tcPr>
          <w:p>
            <w:pPr>
              <w:jc w:val="left"/>
            </w:pPr>
            <w:r>
              <w:rPr>
                <w:rFonts w:ascii="Arial" w:cs="Arial" w:eastAsia="Arial" w:hAnsi="Arial"/>
                <w:b/>
                <w:bCs/>
                <w:color w:val="1A1A1A"/>
                <w:sz w:val="19"/>
                <w:szCs w:val="19"/>
              </w:rPr>
              <w:t xml:space="preserve">Revenue ($m)</w:t>
            </w:r>
          </w:p>
        </w:tc>
        <w:tc>
          <w:tcPr>
            <w:tcW w:type="dxa" w:w="1440"/>
            <w:tcBorders>
              <w:top w:val="single" w:color="CCD6E0" w:sz="1"/>
              <w:left w:val="single" w:color="CCD6E0" w:sz="1"/>
              <w:bottom w:val="single" w:color="CCD6E0" w:sz="1"/>
              <w:right w:val="single" w:color="CCD6E0" w:sz="1"/>
            </w:tcBorders>
            <w:shd w:fill="EAF0F6" w:val="clear"/>
            <w:tcMar>
              <w:top w:type="dxa" w:w="70"/>
              <w:left w:type="dxa" w:w="120"/>
              <w:bottom w:type="dxa" w:w="70"/>
              <w:right w:type="dxa" w:w="120"/>
            </w:tcMar>
            <w:vAlign w:val="center"/>
          </w:tcPr>
          <w:p>
            <w:pPr>
              <w:jc w:val="right"/>
            </w:pPr>
            <w:r>
              <w:rPr>
                <w:rFonts w:ascii="Arial" w:cs="Arial" w:eastAsia="Arial" w:hAnsi="Arial"/>
                <w:b/>
                <w:bCs/>
                <w:color w:val="1A1A1A"/>
                <w:sz w:val="19"/>
                <w:szCs w:val="19"/>
              </w:rPr>
              <w:t xml:space="preserve">4,788</w:t>
            </w:r>
          </w:p>
        </w:tc>
        <w:tc>
          <w:tcPr>
            <w:tcW w:type="dxa" w:w="1440"/>
            <w:tcBorders>
              <w:top w:val="single" w:color="CCD6E0" w:sz="1"/>
              <w:left w:val="single" w:color="CCD6E0" w:sz="1"/>
              <w:bottom w:val="single" w:color="CCD6E0" w:sz="1"/>
              <w:right w:val="single" w:color="CCD6E0" w:sz="1"/>
            </w:tcBorders>
            <w:shd w:fill="EAF0F6" w:val="clear"/>
            <w:tcMar>
              <w:top w:type="dxa" w:w="70"/>
              <w:left w:type="dxa" w:w="120"/>
              <w:bottom w:type="dxa" w:w="70"/>
              <w:right w:type="dxa" w:w="120"/>
            </w:tcMar>
            <w:vAlign w:val="center"/>
          </w:tcPr>
          <w:p>
            <w:pPr>
              <w:jc w:val="right"/>
            </w:pPr>
            <w:r>
              <w:rPr>
                <w:rFonts w:ascii="Arial" w:cs="Arial" w:eastAsia="Arial" w:hAnsi="Arial"/>
                <w:b/>
                <w:bCs/>
                <w:color w:val="1A1A1A"/>
                <w:sz w:val="19"/>
                <w:szCs w:val="19"/>
              </w:rPr>
              <w:t xml:space="preserve">7,002</w:t>
            </w:r>
          </w:p>
        </w:tc>
        <w:tc>
          <w:tcPr>
            <w:tcW w:type="dxa" w:w="1440"/>
            <w:tcBorders>
              <w:top w:val="single" w:color="CCD6E0" w:sz="1"/>
              <w:left w:val="single" w:color="CCD6E0" w:sz="1"/>
              <w:bottom w:val="single" w:color="CCD6E0" w:sz="1"/>
              <w:right w:val="single" w:color="CCD6E0" w:sz="1"/>
            </w:tcBorders>
            <w:shd w:fill="EAF0F6" w:val="clear"/>
            <w:tcMar>
              <w:top w:type="dxa" w:w="70"/>
              <w:left w:type="dxa" w:w="120"/>
              <w:bottom w:type="dxa" w:w="70"/>
              <w:right w:type="dxa" w:w="120"/>
            </w:tcMar>
            <w:vAlign w:val="center"/>
          </w:tcPr>
          <w:p>
            <w:pPr>
              <w:jc w:val="right"/>
            </w:pPr>
            <w:r>
              <w:rPr>
                <w:rFonts w:ascii="Arial" w:cs="Arial" w:eastAsia="Arial" w:hAnsi="Arial"/>
                <w:b/>
                <w:bCs/>
                <w:color w:val="1A1A1A"/>
                <w:sz w:val="19"/>
                <w:szCs w:val="19"/>
              </w:rPr>
              <w:t xml:space="preserve">9,096</w:t>
            </w:r>
          </w:p>
        </w:tc>
        <w:tc>
          <w:tcPr>
            <w:tcW w:type="dxa" w:w="1440"/>
            <w:tcBorders>
              <w:top w:val="single" w:color="CCD6E0" w:sz="1"/>
              <w:left w:val="single" w:color="CCD6E0" w:sz="1"/>
              <w:bottom w:val="single" w:color="CCD6E0" w:sz="1"/>
              <w:right w:val="single" w:color="CCD6E0" w:sz="1"/>
            </w:tcBorders>
            <w:shd w:fill="EAF0F6" w:val="clear"/>
            <w:tcMar>
              <w:top w:type="dxa" w:w="70"/>
              <w:left w:type="dxa" w:w="120"/>
              <w:bottom w:type="dxa" w:w="70"/>
              <w:right w:type="dxa" w:w="120"/>
            </w:tcMar>
            <w:vAlign w:val="center"/>
          </w:tcPr>
          <w:p>
            <w:pPr>
              <w:jc w:val="right"/>
            </w:pPr>
            <w:r>
              <w:rPr>
                <w:rFonts w:ascii="Arial" w:cs="Arial" w:eastAsia="Arial" w:hAnsi="Arial"/>
                <w:b/>
                <w:bCs/>
                <w:color w:val="1A1A1A"/>
                <w:sz w:val="19"/>
                <w:szCs w:val="19"/>
              </w:rPr>
              <w:t xml:space="preserve">10,332</w:t>
            </w:r>
          </w:p>
        </w:tc>
        <w:tc>
          <w:tcPr>
            <w:tcW w:type="dxa" w:w="1440"/>
            <w:tcBorders>
              <w:top w:val="single" w:color="CCD6E0" w:sz="1"/>
              <w:left w:val="single" w:color="CCD6E0" w:sz="1"/>
              <w:bottom w:val="single" w:color="CCD6E0" w:sz="1"/>
              <w:right w:val="single" w:color="CCD6E0" w:sz="1"/>
            </w:tcBorders>
            <w:shd w:fill="EAF0F6" w:val="clear"/>
            <w:tcMar>
              <w:top w:type="dxa" w:w="70"/>
              <w:left w:type="dxa" w:w="120"/>
              <w:bottom w:type="dxa" w:w="70"/>
              <w:right w:type="dxa" w:w="120"/>
            </w:tcMar>
            <w:vAlign w:val="center"/>
          </w:tcPr>
          <w:p>
            <w:pPr>
              <w:jc w:val="right"/>
            </w:pPr>
            <w:r>
              <w:rPr>
                <w:rFonts w:ascii="Arial" w:cs="Arial" w:eastAsia="Arial" w:hAnsi="Arial"/>
                <w:b/>
                <w:bCs/>
                <w:color w:val="1A1A1A"/>
                <w:sz w:val="19"/>
                <w:szCs w:val="19"/>
              </w:rPr>
              <w:t xml:space="preserve">11,129</w:t>
            </w:r>
          </w:p>
        </w:tc>
      </w:tr>
    </w:tbl>
    <w:p>
      <w:pPr>
        <w:spacing w:after="40" w:line="276"/>
      </w:pPr>
      <w:r>
        <w:rPr>
          <w:rFonts w:ascii="Arial" w:cs="Arial" w:eastAsia="Arial" w:hAnsi="Arial"/>
          <w:sz w:val="21"/>
          <w:szCs w:val="21"/>
        </w:rPr>
        <w:t xml:space="preserve"/>
      </w:r>
    </w:p>
    <w:p>
      <w:pPr>
        <w:pStyle w:val="Heading2"/>
      </w:pPr>
      <w:r>
        <w:t xml:space="preserve">4.2  Profit &amp; Loss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w:t>
            </w:r>
          </w:p>
        </w:tc>
        <w:tc>
          <w:tcPr>
            <w:tcW w:type="dxa" w:w="144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Year 1</w:t>
            </w:r>
          </w:p>
        </w:tc>
        <w:tc>
          <w:tcPr>
            <w:tcW w:type="dxa" w:w="144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Year 2</w:t>
            </w:r>
          </w:p>
        </w:tc>
        <w:tc>
          <w:tcPr>
            <w:tcW w:type="dxa" w:w="144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Year 3</w:t>
            </w:r>
          </w:p>
        </w:tc>
        <w:tc>
          <w:tcPr>
            <w:tcW w:type="dxa" w:w="144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Year 4</w:t>
            </w:r>
          </w:p>
        </w:tc>
        <w:tc>
          <w:tcPr>
            <w:tcW w:type="dxa" w:w="144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Year 5</w:t>
            </w:r>
          </w:p>
        </w:tc>
      </w:tr>
      <w:tr>
        <w:tc>
          <w:tcPr>
            <w:tcW w:type="dxa" w:w="216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1A"/>
                <w:sz w:val="19"/>
                <w:szCs w:val="19"/>
              </w:rPr>
              <w:t xml:space="preserve">Revenue</w:t>
            </w:r>
          </w:p>
        </w:tc>
        <w:tc>
          <w:tcPr>
            <w:tcW w:type="dxa" w:w="144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4,788</w:t>
            </w:r>
          </w:p>
        </w:tc>
        <w:tc>
          <w:tcPr>
            <w:tcW w:type="dxa" w:w="144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7,002</w:t>
            </w:r>
          </w:p>
        </w:tc>
        <w:tc>
          <w:tcPr>
            <w:tcW w:type="dxa" w:w="144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9,096</w:t>
            </w:r>
          </w:p>
        </w:tc>
        <w:tc>
          <w:tcPr>
            <w:tcW w:type="dxa" w:w="144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10,332</w:t>
            </w:r>
          </w:p>
        </w:tc>
        <w:tc>
          <w:tcPr>
            <w:tcW w:type="dxa" w:w="144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11,129</w:t>
            </w:r>
          </w:p>
        </w:tc>
      </w:tr>
      <w:tr>
        <w:tc>
          <w:tcPr>
            <w:tcW w:type="dxa" w:w="216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left"/>
            </w:pPr>
            <w:r>
              <w:rPr>
                <w:rFonts w:ascii="Arial" w:cs="Arial" w:eastAsia="Arial" w:hAnsi="Arial"/>
                <w:b/>
                <w:bCs/>
                <w:color w:val="1A1A1A"/>
                <w:sz w:val="19"/>
                <w:szCs w:val="19"/>
              </w:rPr>
              <w:t xml:space="preserve">Gross profit</w:t>
            </w:r>
          </w:p>
        </w:tc>
        <w:tc>
          <w:tcPr>
            <w:tcW w:type="dxa" w:w="144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1,772</w:t>
            </w:r>
          </w:p>
        </w:tc>
        <w:tc>
          <w:tcPr>
            <w:tcW w:type="dxa" w:w="144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2,731</w:t>
            </w:r>
          </w:p>
        </w:tc>
        <w:tc>
          <w:tcPr>
            <w:tcW w:type="dxa" w:w="144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3,729</w:t>
            </w:r>
          </w:p>
        </w:tc>
        <w:tc>
          <w:tcPr>
            <w:tcW w:type="dxa" w:w="144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4,339</w:t>
            </w:r>
          </w:p>
        </w:tc>
        <w:tc>
          <w:tcPr>
            <w:tcW w:type="dxa" w:w="144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4,785</w:t>
            </w:r>
          </w:p>
        </w:tc>
      </w:tr>
      <w:tr>
        <w:tc>
          <w:tcPr>
            <w:tcW w:type="dxa" w:w="216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1A"/>
                <w:sz w:val="19"/>
                <w:szCs w:val="19"/>
              </w:rPr>
              <w:t xml:space="preserve">Gross margin %</w:t>
            </w:r>
          </w:p>
        </w:tc>
        <w:tc>
          <w:tcPr>
            <w:tcW w:type="dxa" w:w="144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37.0%</w:t>
            </w:r>
          </w:p>
        </w:tc>
        <w:tc>
          <w:tcPr>
            <w:tcW w:type="dxa" w:w="144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39.0%</w:t>
            </w:r>
          </w:p>
        </w:tc>
        <w:tc>
          <w:tcPr>
            <w:tcW w:type="dxa" w:w="144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41.0%</w:t>
            </w:r>
          </w:p>
        </w:tc>
        <w:tc>
          <w:tcPr>
            <w:tcW w:type="dxa" w:w="144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42.0%</w:t>
            </w:r>
          </w:p>
        </w:tc>
        <w:tc>
          <w:tcPr>
            <w:tcW w:type="dxa" w:w="144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43.0%</w:t>
            </w:r>
          </w:p>
        </w:tc>
      </w:tr>
      <w:tr>
        <w:tc>
          <w:tcPr>
            <w:tcW w:type="dxa" w:w="216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left"/>
            </w:pPr>
            <w:r>
              <w:rPr>
                <w:rFonts w:ascii="Arial" w:cs="Arial" w:eastAsia="Arial" w:hAnsi="Arial"/>
                <w:b/>
                <w:bCs/>
                <w:color w:val="1A1A1A"/>
                <w:sz w:val="19"/>
                <w:szCs w:val="19"/>
              </w:rPr>
              <w:t xml:space="preserve">Operating expenses</w:t>
            </w:r>
          </w:p>
        </w:tc>
        <w:tc>
          <w:tcPr>
            <w:tcW w:type="dxa" w:w="144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(1,053)</w:t>
            </w:r>
          </w:p>
        </w:tc>
        <w:tc>
          <w:tcPr>
            <w:tcW w:type="dxa" w:w="144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(1,400)</w:t>
            </w:r>
          </w:p>
        </w:tc>
        <w:tc>
          <w:tcPr>
            <w:tcW w:type="dxa" w:w="144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(1,637)</w:t>
            </w:r>
          </w:p>
        </w:tc>
        <w:tc>
          <w:tcPr>
            <w:tcW w:type="dxa" w:w="144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(1,756)</w:t>
            </w:r>
          </w:p>
        </w:tc>
        <w:tc>
          <w:tcPr>
            <w:tcW w:type="dxa" w:w="144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(1,781)</w:t>
            </w:r>
          </w:p>
        </w:tc>
      </w:tr>
      <w:tr>
        <w:tc>
          <w:tcPr>
            <w:tcW w:type="dxa" w:w="2160"/>
            <w:tcBorders>
              <w:top w:val="single" w:color="CCD6E0" w:sz="1"/>
              <w:left w:val="single" w:color="CCD6E0" w:sz="1"/>
              <w:bottom w:val="single" w:color="CCD6E0" w:sz="1"/>
              <w:right w:val="single" w:color="CCD6E0" w:sz="1"/>
            </w:tcBorders>
            <w:shd w:fill="EAF0F6" w:val="clear"/>
            <w:tcMar>
              <w:top w:type="dxa" w:w="70"/>
              <w:left w:type="dxa" w:w="120"/>
              <w:bottom w:type="dxa" w:w="70"/>
              <w:right w:type="dxa" w:w="120"/>
            </w:tcMar>
            <w:vAlign w:val="center"/>
          </w:tcPr>
          <w:p>
            <w:pPr>
              <w:jc w:val="left"/>
            </w:pPr>
            <w:r>
              <w:rPr>
                <w:rFonts w:ascii="Arial" w:cs="Arial" w:eastAsia="Arial" w:hAnsi="Arial"/>
                <w:b/>
                <w:bCs/>
                <w:color w:val="1A1A1A"/>
                <w:sz w:val="19"/>
                <w:szCs w:val="19"/>
              </w:rPr>
              <w:t xml:space="preserve">Operating income (EBIT)</w:t>
            </w:r>
          </w:p>
        </w:tc>
        <w:tc>
          <w:tcPr>
            <w:tcW w:type="dxa" w:w="1440"/>
            <w:tcBorders>
              <w:top w:val="single" w:color="CCD6E0" w:sz="1"/>
              <w:left w:val="single" w:color="CCD6E0" w:sz="1"/>
              <w:bottom w:val="single" w:color="CCD6E0" w:sz="1"/>
              <w:right w:val="single" w:color="CCD6E0" w:sz="1"/>
            </w:tcBorders>
            <w:shd w:fill="EAF0F6" w:val="clear"/>
            <w:tcMar>
              <w:top w:type="dxa" w:w="70"/>
              <w:left w:type="dxa" w:w="120"/>
              <w:bottom w:type="dxa" w:w="70"/>
              <w:right w:type="dxa" w:w="120"/>
            </w:tcMar>
            <w:vAlign w:val="center"/>
          </w:tcPr>
          <w:p>
            <w:pPr>
              <w:jc w:val="right"/>
            </w:pPr>
            <w:r>
              <w:rPr>
                <w:rFonts w:ascii="Arial" w:cs="Arial" w:eastAsia="Arial" w:hAnsi="Arial"/>
                <w:b/>
                <w:bCs/>
                <w:color w:val="1A1A1A"/>
                <w:sz w:val="19"/>
                <w:szCs w:val="19"/>
              </w:rPr>
              <w:t xml:space="preserve">719</w:t>
            </w:r>
          </w:p>
        </w:tc>
        <w:tc>
          <w:tcPr>
            <w:tcW w:type="dxa" w:w="1440"/>
            <w:tcBorders>
              <w:top w:val="single" w:color="CCD6E0" w:sz="1"/>
              <w:left w:val="single" w:color="CCD6E0" w:sz="1"/>
              <w:bottom w:val="single" w:color="CCD6E0" w:sz="1"/>
              <w:right w:val="single" w:color="CCD6E0" w:sz="1"/>
            </w:tcBorders>
            <w:shd w:fill="EAF0F6" w:val="clear"/>
            <w:tcMar>
              <w:top w:type="dxa" w:w="70"/>
              <w:left w:type="dxa" w:w="120"/>
              <w:bottom w:type="dxa" w:w="70"/>
              <w:right w:type="dxa" w:w="120"/>
            </w:tcMar>
            <w:vAlign w:val="center"/>
          </w:tcPr>
          <w:p>
            <w:pPr>
              <w:jc w:val="right"/>
            </w:pPr>
            <w:r>
              <w:rPr>
                <w:rFonts w:ascii="Arial" w:cs="Arial" w:eastAsia="Arial" w:hAnsi="Arial"/>
                <w:b/>
                <w:bCs/>
                <w:color w:val="1A1A1A"/>
                <w:sz w:val="19"/>
                <w:szCs w:val="19"/>
              </w:rPr>
              <w:t xml:space="preserve">1,331</w:t>
            </w:r>
          </w:p>
        </w:tc>
        <w:tc>
          <w:tcPr>
            <w:tcW w:type="dxa" w:w="1440"/>
            <w:tcBorders>
              <w:top w:val="single" w:color="CCD6E0" w:sz="1"/>
              <w:left w:val="single" w:color="CCD6E0" w:sz="1"/>
              <w:bottom w:val="single" w:color="CCD6E0" w:sz="1"/>
              <w:right w:val="single" w:color="CCD6E0" w:sz="1"/>
            </w:tcBorders>
            <w:shd w:fill="EAF0F6" w:val="clear"/>
            <w:tcMar>
              <w:top w:type="dxa" w:w="70"/>
              <w:left w:type="dxa" w:w="120"/>
              <w:bottom w:type="dxa" w:w="70"/>
              <w:right w:type="dxa" w:w="120"/>
            </w:tcMar>
            <w:vAlign w:val="center"/>
          </w:tcPr>
          <w:p>
            <w:pPr>
              <w:jc w:val="right"/>
            </w:pPr>
            <w:r>
              <w:rPr>
                <w:rFonts w:ascii="Arial" w:cs="Arial" w:eastAsia="Arial" w:hAnsi="Arial"/>
                <w:b/>
                <w:bCs/>
                <w:color w:val="1A1A1A"/>
                <w:sz w:val="19"/>
                <w:szCs w:val="19"/>
              </w:rPr>
              <w:t xml:space="preserve">2,092</w:t>
            </w:r>
          </w:p>
        </w:tc>
        <w:tc>
          <w:tcPr>
            <w:tcW w:type="dxa" w:w="1440"/>
            <w:tcBorders>
              <w:top w:val="single" w:color="CCD6E0" w:sz="1"/>
              <w:left w:val="single" w:color="CCD6E0" w:sz="1"/>
              <w:bottom w:val="single" w:color="CCD6E0" w:sz="1"/>
              <w:right w:val="single" w:color="CCD6E0" w:sz="1"/>
            </w:tcBorders>
            <w:shd w:fill="EAF0F6" w:val="clear"/>
            <w:tcMar>
              <w:top w:type="dxa" w:w="70"/>
              <w:left w:type="dxa" w:w="120"/>
              <w:bottom w:type="dxa" w:w="70"/>
              <w:right w:type="dxa" w:w="120"/>
            </w:tcMar>
            <w:vAlign w:val="center"/>
          </w:tcPr>
          <w:p>
            <w:pPr>
              <w:jc w:val="right"/>
            </w:pPr>
            <w:r>
              <w:rPr>
                <w:rFonts w:ascii="Arial" w:cs="Arial" w:eastAsia="Arial" w:hAnsi="Arial"/>
                <w:b/>
                <w:bCs/>
                <w:color w:val="1A1A1A"/>
                <w:sz w:val="19"/>
                <w:szCs w:val="19"/>
              </w:rPr>
              <w:t xml:space="preserve">2,583</w:t>
            </w:r>
          </w:p>
        </w:tc>
        <w:tc>
          <w:tcPr>
            <w:tcW w:type="dxa" w:w="1440"/>
            <w:tcBorders>
              <w:top w:val="single" w:color="CCD6E0" w:sz="1"/>
              <w:left w:val="single" w:color="CCD6E0" w:sz="1"/>
              <w:bottom w:val="single" w:color="CCD6E0" w:sz="1"/>
              <w:right w:val="single" w:color="CCD6E0" w:sz="1"/>
            </w:tcBorders>
            <w:shd w:fill="EAF0F6" w:val="clear"/>
            <w:tcMar>
              <w:top w:type="dxa" w:w="70"/>
              <w:left w:type="dxa" w:w="120"/>
              <w:bottom w:type="dxa" w:w="70"/>
              <w:right w:type="dxa" w:w="120"/>
            </w:tcMar>
            <w:vAlign w:val="center"/>
          </w:tcPr>
          <w:p>
            <w:pPr>
              <w:jc w:val="right"/>
            </w:pPr>
            <w:r>
              <w:rPr>
                <w:rFonts w:ascii="Arial" w:cs="Arial" w:eastAsia="Arial" w:hAnsi="Arial"/>
                <w:b/>
                <w:bCs/>
                <w:color w:val="1A1A1A"/>
                <w:sz w:val="19"/>
                <w:szCs w:val="19"/>
              </w:rPr>
              <w:t xml:space="preserve">3,004</w:t>
            </w:r>
          </w:p>
        </w:tc>
      </w:tr>
      <w:tr>
        <w:tc>
          <w:tcPr>
            <w:tcW w:type="dxa" w:w="216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left"/>
            </w:pPr>
            <w:r>
              <w:rPr>
                <w:rFonts w:ascii="Arial" w:cs="Arial" w:eastAsia="Arial" w:hAnsi="Arial"/>
                <w:b/>
                <w:bCs/>
                <w:color w:val="1A1A1A"/>
                <w:sz w:val="19"/>
                <w:szCs w:val="19"/>
              </w:rPr>
              <w:t xml:space="preserve">EBIT margin %</w:t>
            </w:r>
          </w:p>
        </w:tc>
        <w:tc>
          <w:tcPr>
            <w:tcW w:type="dxa" w:w="144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15.0%</w:t>
            </w:r>
          </w:p>
        </w:tc>
        <w:tc>
          <w:tcPr>
            <w:tcW w:type="dxa" w:w="144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19.0%</w:t>
            </w:r>
          </w:p>
        </w:tc>
        <w:tc>
          <w:tcPr>
            <w:tcW w:type="dxa" w:w="144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23.0%</w:t>
            </w:r>
          </w:p>
        </w:tc>
        <w:tc>
          <w:tcPr>
            <w:tcW w:type="dxa" w:w="144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25.0%</w:t>
            </w:r>
          </w:p>
        </w:tc>
        <w:tc>
          <w:tcPr>
            <w:tcW w:type="dxa" w:w="144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27.0%</w:t>
            </w:r>
          </w:p>
        </w:tc>
      </w:tr>
    </w:tbl>
    <w:p>
      <w:pPr>
        <w:spacing w:after="40" w:line="276"/>
      </w:pPr>
      <w:r>
        <w:rPr>
          <w:rFonts w:ascii="Arial" w:cs="Arial" w:eastAsia="Arial" w:hAnsi="Arial"/>
          <w:sz w:val="21"/>
          <w:szCs w:val="21"/>
        </w:rPr>
        <w:t xml:space="preserve"/>
      </w:r>
    </w:p>
    <w:p>
      <w:pPr>
        <w:spacing w:after="140" w:line="276"/>
      </w:pPr>
      <w:r>
        <w:rPr>
          <w:rFonts w:ascii="Arial" w:cs="Arial" w:eastAsia="Arial" w:hAnsi="Arial"/>
          <w:b/>
          <w:bCs/>
          <w:sz w:val="21"/>
          <w:szCs w:val="21"/>
        </w:rPr>
        <w:t xml:space="preserve">Operating expenses </w:t>
      </w:r>
      <w:r>
        <w:rPr>
          <w:rFonts w:ascii="Arial" w:cs="Arial" w:eastAsia="Arial" w:hAnsi="Arial"/>
          <w:sz w:val="21"/>
          <w:szCs w:val="21"/>
        </w:rPr>
        <w:t xml:space="preserve">comprise research &amp; development, sales &amp; marketing, and general &amp; administrative costs. The ratio falls from 22% of revenue in Year 1 to 16% by Year 5 as fixed program costs are spread across a larger base.</w:t>
      </w:r>
    </w:p>
    <w:p>
      <w:pPr>
        <w:pStyle w:val="Heading2"/>
      </w:pPr>
      <w:r>
        <w:t xml:space="preserve">4.3  Key Assumptions</w:t>
      </w:r>
    </w:p>
    <w:p>
      <w:pPr>
        <w:pStyle w:val="ListParagraph"/>
        <w:numPr>
          <w:ilvl w:val="0"/>
          <w:numId w:val="2"/>
        </w:numPr>
        <w:spacing w:after="80" w:line="270"/>
      </w:pPr>
      <w:r>
        <w:rPr>
          <w:rFonts w:ascii="Arial" w:cs="Arial" w:eastAsia="Arial" w:hAnsi="Arial"/>
          <w:sz w:val="21"/>
          <w:szCs w:val="21"/>
        </w:rPr>
        <w:t xml:space="preserve">Annual unit growth moderates from launch ramp toward a mature run-rate by Year 5.</w:t>
      </w:r>
    </w:p>
    <w:p>
      <w:pPr>
        <w:pStyle w:val="ListParagraph"/>
        <w:numPr>
          <w:ilvl w:val="0"/>
          <w:numId w:val="2"/>
        </w:numPr>
        <w:spacing w:after="80" w:line="270"/>
      </w:pPr>
      <w:r>
        <w:rPr>
          <w:rFonts w:ascii="Arial" w:cs="Arial" w:eastAsia="Arial" w:hAnsi="Arial"/>
          <w:sz w:val="21"/>
          <w:szCs w:val="21"/>
        </w:rPr>
        <w:t xml:space="preserve">Gross margin improves ~150 basis points per year through scale, sourcing, and yield gains.</w:t>
      </w:r>
    </w:p>
    <w:p>
      <w:pPr>
        <w:pStyle w:val="ListParagraph"/>
        <w:numPr>
          <w:ilvl w:val="0"/>
          <w:numId w:val="2"/>
        </w:numPr>
        <w:spacing w:after="80" w:line="270"/>
      </w:pPr>
      <w:r>
        <w:rPr>
          <w:rFonts w:ascii="Arial" w:cs="Arial" w:eastAsia="Arial" w:hAnsi="Arial"/>
          <w:sz w:val="21"/>
          <w:szCs w:val="21"/>
        </w:rPr>
        <w:t xml:space="preserve">A blended tax rate of 25% is applied for cash flow and return calculations.</w:t>
      </w:r>
    </w:p>
    <w:p>
      <w:pPr>
        <w:pStyle w:val="ListParagraph"/>
        <w:numPr>
          <w:ilvl w:val="0"/>
          <w:numId w:val="2"/>
        </w:numPr>
        <w:spacing w:after="80" w:line="270"/>
      </w:pPr>
      <w:r>
        <w:rPr>
          <w:rFonts w:ascii="Arial" w:cs="Arial" w:eastAsia="Arial" w:hAnsi="Arial"/>
          <w:sz w:val="21"/>
          <w:szCs w:val="21"/>
        </w:rPr>
        <w:t xml:space="preserve">No material cannibalization of the existing line is assumed in the base case (see Section 6).</w:t>
      </w:r>
    </w:p>
    <w:p>
      <w:pPr>
        <w:pStyle w:val="Heading1"/>
        <w:pageBreakBefore/>
      </w:pPr>
      <w:r>
        <w:t xml:space="preserve">5. Investment Requirements &amp; Returns</w:t>
      </w:r>
    </w:p>
    <w:p>
      <w:pPr>
        <w:pBdr>
          <w:bottom w:val="single" w:color="C9A24B" w:sz="6" w:space="1"/>
        </w:pBdr>
        <w:spacing w:after="120"/>
      </w:pPr>
      <w:r>
        <w:t xml:space="preserve"/>
      </w:r>
    </w:p>
    <w:p>
      <w:pPr>
        <w:pStyle w:val="Heading2"/>
      </w:pPr>
      <w:r>
        <w:t xml:space="preserve">5.1  Upfront Investment</w:t>
      </w:r>
    </w:p>
    <w:p>
      <w:pPr>
        <w:spacing w:after="140" w:line="276"/>
      </w:pPr>
      <w:r>
        <w:rPr>
          <w:rFonts w:ascii="Arial" w:cs="Arial" w:eastAsia="Arial" w:hAnsi="Arial"/>
          <w:sz w:val="21"/>
          <w:szCs w:val="21"/>
        </w:rPr>
        <w:t xml:space="preserve">The program requires an estimated $2.20bn of initial investment, deployed ahead of and during the launch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Use of funds</w:t>
            </w:r>
          </w:p>
        </w:tc>
        <w:tc>
          <w:tcPr>
            <w:tcW w:type="dxa" w:w="240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Amount ($m)</w:t>
            </w:r>
          </w:p>
        </w:tc>
        <w:tc>
          <w:tcPr>
            <w:tcW w:type="dxa" w:w="240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Share</w:t>
            </w:r>
          </w:p>
        </w:tc>
      </w:tr>
      <w:tr>
        <w:tc>
          <w:tcPr>
            <w:tcW w:type="dxa" w:w="456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R&amp;D and engineering (NRE)</w:t>
            </w:r>
          </w:p>
        </w:tc>
        <w:tc>
          <w:tcPr>
            <w:tcW w:type="dxa" w:w="24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850</w:t>
            </w:r>
          </w:p>
        </w:tc>
        <w:tc>
          <w:tcPr>
            <w:tcW w:type="dxa" w:w="24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38.6%</w:t>
            </w:r>
          </w:p>
        </w:tc>
      </w:tr>
      <w:tr>
        <w:tc>
          <w:tcPr>
            <w:tcW w:type="dxa" w:w="456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Tooling &amp; manufacturing setup</w:t>
            </w:r>
          </w:p>
        </w:tc>
        <w:tc>
          <w:tcPr>
            <w:tcW w:type="dxa" w:w="24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620</w:t>
            </w:r>
          </w:p>
        </w:tc>
        <w:tc>
          <w:tcPr>
            <w:tcW w:type="dxa" w:w="24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28.2%</w:t>
            </w:r>
          </w:p>
        </w:tc>
      </w:tr>
      <w:tr>
        <w:tc>
          <w:tcPr>
            <w:tcW w:type="dxa" w:w="456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Launch marketing &amp; channel</w:t>
            </w:r>
          </w:p>
        </w:tc>
        <w:tc>
          <w:tcPr>
            <w:tcW w:type="dxa" w:w="24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400</w:t>
            </w:r>
          </w:p>
        </w:tc>
        <w:tc>
          <w:tcPr>
            <w:tcW w:type="dxa" w:w="24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18.2%</w:t>
            </w:r>
          </w:p>
        </w:tc>
      </w:tr>
      <w:tr>
        <w:tc>
          <w:tcPr>
            <w:tcW w:type="dxa" w:w="456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Initial working capital</w:t>
            </w:r>
          </w:p>
        </w:tc>
        <w:tc>
          <w:tcPr>
            <w:tcW w:type="dxa" w:w="24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330</w:t>
            </w:r>
          </w:p>
        </w:tc>
        <w:tc>
          <w:tcPr>
            <w:tcW w:type="dxa" w:w="24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15.0%</w:t>
            </w:r>
          </w:p>
        </w:tc>
      </w:tr>
      <w:tr>
        <w:tc>
          <w:tcPr>
            <w:tcW w:type="dxa" w:w="4560"/>
            <w:tcBorders>
              <w:top w:val="single" w:color="CCD6E0" w:sz="1"/>
              <w:left w:val="single" w:color="CCD6E0" w:sz="1"/>
              <w:bottom w:val="single" w:color="CCD6E0" w:sz="1"/>
              <w:right w:val="single" w:color="CCD6E0" w:sz="1"/>
            </w:tcBorders>
            <w:shd w:fill="EAF0F6" w:val="clear"/>
            <w:tcMar>
              <w:top w:type="dxa" w:w="70"/>
              <w:left w:type="dxa" w:w="120"/>
              <w:bottom w:type="dxa" w:w="70"/>
              <w:right w:type="dxa" w:w="120"/>
            </w:tcMar>
            <w:vAlign w:val="center"/>
          </w:tcPr>
          <w:p>
            <w:pPr>
              <w:jc w:val="left"/>
            </w:pPr>
            <w:r>
              <w:rPr>
                <w:rFonts w:ascii="Arial" w:cs="Arial" w:eastAsia="Arial" w:hAnsi="Arial"/>
                <w:b/>
                <w:bCs/>
                <w:color w:val="1A1A1A"/>
                <w:sz w:val="19"/>
                <w:szCs w:val="19"/>
              </w:rPr>
              <w:t xml:space="preserve">Total initial investment</w:t>
            </w:r>
          </w:p>
        </w:tc>
        <w:tc>
          <w:tcPr>
            <w:tcW w:type="dxa" w:w="2400"/>
            <w:tcBorders>
              <w:top w:val="single" w:color="CCD6E0" w:sz="1"/>
              <w:left w:val="single" w:color="CCD6E0" w:sz="1"/>
              <w:bottom w:val="single" w:color="CCD6E0" w:sz="1"/>
              <w:right w:val="single" w:color="CCD6E0" w:sz="1"/>
            </w:tcBorders>
            <w:shd w:fill="EAF0F6" w:val="clear"/>
            <w:tcMar>
              <w:top w:type="dxa" w:w="70"/>
              <w:left w:type="dxa" w:w="120"/>
              <w:bottom w:type="dxa" w:w="70"/>
              <w:right w:type="dxa" w:w="120"/>
            </w:tcMar>
            <w:vAlign w:val="center"/>
          </w:tcPr>
          <w:p>
            <w:pPr>
              <w:jc w:val="right"/>
            </w:pPr>
            <w:r>
              <w:rPr>
                <w:rFonts w:ascii="Arial" w:cs="Arial" w:eastAsia="Arial" w:hAnsi="Arial"/>
                <w:b/>
                <w:bCs/>
                <w:color w:val="1A1A1A"/>
                <w:sz w:val="19"/>
                <w:szCs w:val="19"/>
              </w:rPr>
              <w:t xml:space="preserve">2,200</w:t>
            </w:r>
          </w:p>
        </w:tc>
        <w:tc>
          <w:tcPr>
            <w:tcW w:type="dxa" w:w="2400"/>
            <w:tcBorders>
              <w:top w:val="single" w:color="CCD6E0" w:sz="1"/>
              <w:left w:val="single" w:color="CCD6E0" w:sz="1"/>
              <w:bottom w:val="single" w:color="CCD6E0" w:sz="1"/>
              <w:right w:val="single" w:color="CCD6E0" w:sz="1"/>
            </w:tcBorders>
            <w:shd w:fill="EAF0F6" w:val="clear"/>
            <w:tcMar>
              <w:top w:type="dxa" w:w="70"/>
              <w:left w:type="dxa" w:w="120"/>
              <w:bottom w:type="dxa" w:w="70"/>
              <w:right w:type="dxa" w:w="120"/>
            </w:tcMar>
            <w:vAlign w:val="center"/>
          </w:tcPr>
          <w:p>
            <w:pPr>
              <w:jc w:val="right"/>
            </w:pPr>
            <w:r>
              <w:rPr>
                <w:rFonts w:ascii="Arial" w:cs="Arial" w:eastAsia="Arial" w:hAnsi="Arial"/>
                <w:b/>
                <w:bCs/>
                <w:color w:val="1A1A1A"/>
                <w:sz w:val="19"/>
                <w:szCs w:val="19"/>
              </w:rPr>
              <w:t xml:space="preserve">100.0%</w:t>
            </w:r>
          </w:p>
        </w:tc>
      </w:tr>
    </w:tbl>
    <w:p>
      <w:pPr>
        <w:spacing w:after="40" w:line="276"/>
      </w:pPr>
      <w:r>
        <w:rPr>
          <w:rFonts w:ascii="Arial" w:cs="Arial" w:eastAsia="Arial" w:hAnsi="Arial"/>
          <w:sz w:val="21"/>
          <w:szCs w:val="21"/>
        </w:rPr>
        <w:t xml:space="preserve"/>
      </w:r>
    </w:p>
    <w:p>
      <w:pPr>
        <w:pStyle w:val="Heading2"/>
      </w:pPr>
      <w:r>
        <w:t xml:space="preserve">5.2  Cash Flow &amp; Return Profile</w:t>
      </w:r>
    </w:p>
    <w:p>
      <w:pPr>
        <w:spacing w:after="140" w:line="276"/>
      </w:pPr>
      <w:r>
        <w:rPr>
          <w:rFonts w:ascii="Arial" w:cs="Arial" w:eastAsia="Arial" w:hAnsi="Arial"/>
          <w:sz w:val="21"/>
          <w:szCs w:val="21"/>
        </w:rPr>
        <w:t xml:space="preserve">After-tax operating cash flows are discounted at a 10% cost of capital. The program reaches cumulative break-even partway through Year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100"/>
        <w:gridCol w:w="1100"/>
        <w:gridCol w:w="1100"/>
        <w:gridCol w:w="1100"/>
        <w:gridCol w:w="1100"/>
        <w:gridCol w:w="1100"/>
      </w:tblGrid>
      <w:tr>
        <w:trPr>
          <w:tblHeader/>
        </w:trPr>
        <w:tc>
          <w:tcPr>
            <w:tcW w:type="dxa" w:w="276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w:t>
            </w:r>
          </w:p>
        </w:tc>
        <w:tc>
          <w:tcPr>
            <w:tcW w:type="dxa" w:w="110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Year 0</w:t>
            </w:r>
          </w:p>
        </w:tc>
        <w:tc>
          <w:tcPr>
            <w:tcW w:type="dxa" w:w="110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Year 1</w:t>
            </w:r>
          </w:p>
        </w:tc>
        <w:tc>
          <w:tcPr>
            <w:tcW w:type="dxa" w:w="110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Year 2</w:t>
            </w:r>
          </w:p>
        </w:tc>
        <w:tc>
          <w:tcPr>
            <w:tcW w:type="dxa" w:w="110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Year 3</w:t>
            </w:r>
          </w:p>
        </w:tc>
        <w:tc>
          <w:tcPr>
            <w:tcW w:type="dxa" w:w="110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Year 4</w:t>
            </w:r>
          </w:p>
        </w:tc>
        <w:tc>
          <w:tcPr>
            <w:tcW w:type="dxa" w:w="110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Year 5</w:t>
            </w:r>
          </w:p>
        </w:tc>
      </w:tr>
      <w:tr>
        <w:tc>
          <w:tcPr>
            <w:tcW w:type="dxa" w:w="276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1A"/>
                <w:sz w:val="19"/>
                <w:szCs w:val="19"/>
              </w:rPr>
              <w:t xml:space="preserve">After-tax operating cash flow</w:t>
            </w:r>
          </w:p>
        </w:tc>
        <w:tc>
          <w:tcPr>
            <w:tcW w:type="dxa" w:w="11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(2,200)</w:t>
            </w:r>
          </w:p>
        </w:tc>
        <w:tc>
          <w:tcPr>
            <w:tcW w:type="dxa" w:w="11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539</w:t>
            </w:r>
          </w:p>
        </w:tc>
        <w:tc>
          <w:tcPr>
            <w:tcW w:type="dxa" w:w="11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998</w:t>
            </w:r>
          </w:p>
        </w:tc>
        <w:tc>
          <w:tcPr>
            <w:tcW w:type="dxa" w:w="11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1,569</w:t>
            </w:r>
          </w:p>
        </w:tc>
        <w:tc>
          <w:tcPr>
            <w:tcW w:type="dxa" w:w="11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1,937</w:t>
            </w:r>
          </w:p>
        </w:tc>
        <w:tc>
          <w:tcPr>
            <w:tcW w:type="dxa" w:w="11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2,253</w:t>
            </w:r>
          </w:p>
        </w:tc>
      </w:tr>
      <w:tr>
        <w:tc>
          <w:tcPr>
            <w:tcW w:type="dxa" w:w="276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left"/>
            </w:pPr>
            <w:r>
              <w:rPr>
                <w:rFonts w:ascii="Arial" w:cs="Arial" w:eastAsia="Arial" w:hAnsi="Arial"/>
                <w:b/>
                <w:bCs/>
                <w:color w:val="1A1A1A"/>
                <w:sz w:val="19"/>
                <w:szCs w:val="19"/>
              </w:rPr>
              <w:t xml:space="preserve">Cumulative cash flow</w:t>
            </w:r>
          </w:p>
        </w:tc>
        <w:tc>
          <w:tcPr>
            <w:tcW w:type="dxa" w:w="11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(2,200)</w:t>
            </w:r>
          </w:p>
        </w:tc>
        <w:tc>
          <w:tcPr>
            <w:tcW w:type="dxa" w:w="11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(1,661)</w:t>
            </w:r>
          </w:p>
        </w:tc>
        <w:tc>
          <w:tcPr>
            <w:tcW w:type="dxa" w:w="11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(663)</w:t>
            </w:r>
          </w:p>
        </w:tc>
        <w:tc>
          <w:tcPr>
            <w:tcW w:type="dxa" w:w="11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906</w:t>
            </w:r>
          </w:p>
        </w:tc>
        <w:tc>
          <w:tcPr>
            <w:tcW w:type="dxa" w:w="11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2,843</w:t>
            </w:r>
          </w:p>
        </w:tc>
        <w:tc>
          <w:tcPr>
            <w:tcW w:type="dxa" w:w="11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5,096</w:t>
            </w:r>
          </w:p>
        </w:tc>
      </w:tr>
    </w:tbl>
    <w:p>
      <w:pPr>
        <w:spacing w:after="40" w:line="276"/>
      </w:pPr>
      <w:r>
        <w:rPr>
          <w:rFonts w:ascii="Arial" w:cs="Arial" w:eastAsia="Arial" w:hAnsi="Arial"/>
          <w:sz w:val="21"/>
          <w:szCs w:val="21"/>
        </w:rPr>
        <w:t xml:space="preserve"/>
      </w:r>
    </w:p>
    <w:p>
      <w:pPr>
        <w:pStyle w:val="Heading2"/>
      </w:pPr>
      <w:r>
        <w:t xml:space="preserve">5.3  Return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Metric</w:t>
            </w:r>
          </w:p>
        </w:tc>
        <w:tc>
          <w:tcPr>
            <w:tcW w:type="dxa" w:w="300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Base Case</w:t>
            </w:r>
          </w:p>
        </w:tc>
      </w:tr>
      <w:tr>
        <w:tc>
          <w:tcPr>
            <w:tcW w:type="dxa" w:w="636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Net present value (10%)</w:t>
            </w:r>
          </w:p>
        </w:tc>
        <w:tc>
          <w:tcPr>
            <w:tcW w:type="dxa" w:w="30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$3.02bn</w:t>
            </w:r>
          </w:p>
        </w:tc>
      </w:tr>
      <w:tr>
        <w:tc>
          <w:tcPr>
            <w:tcW w:type="dxa" w:w="636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Internal rate of return (IRR)</w:t>
            </w:r>
          </w:p>
        </w:tc>
        <w:tc>
          <w:tcPr>
            <w:tcW w:type="dxa" w:w="30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~44%</w:t>
            </w:r>
          </w:p>
        </w:tc>
      </w:tr>
      <w:tr>
        <w:tc>
          <w:tcPr>
            <w:tcW w:type="dxa" w:w="636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Payback period</w:t>
            </w:r>
          </w:p>
        </w:tc>
        <w:tc>
          <w:tcPr>
            <w:tcW w:type="dxa" w:w="30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~2.6 years</w:t>
            </w:r>
          </w:p>
        </w:tc>
      </w:tr>
      <w:tr>
        <w:tc>
          <w:tcPr>
            <w:tcW w:type="dxa" w:w="636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5-year cumulative operating income</w:t>
            </w:r>
          </w:p>
        </w:tc>
        <w:tc>
          <w:tcPr>
            <w:tcW w:type="dxa" w:w="30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$9.73bn</w:t>
            </w:r>
          </w:p>
        </w:tc>
      </w:tr>
      <w:tr>
        <w:tc>
          <w:tcPr>
            <w:tcW w:type="dxa" w:w="636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Return on initial investment (5-yr)</w:t>
            </w:r>
          </w:p>
        </w:tc>
        <w:tc>
          <w:tcPr>
            <w:tcW w:type="dxa" w:w="30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~4.4x</w:t>
            </w:r>
          </w:p>
        </w:tc>
      </w:tr>
    </w:tbl>
    <w:p>
      <w:pPr>
        <w:pStyle w:val="Heading1"/>
        <w:pageBreakBefore/>
      </w:pPr>
      <w:r>
        <w:t xml:space="preserve">6. Risk Assessment</w:t>
      </w:r>
    </w:p>
    <w:p>
      <w:pPr>
        <w:pBdr>
          <w:bottom w:val="single" w:color="C9A24B" w:sz="6" w:space="1"/>
        </w:pBdr>
        <w:spacing w:after="120"/>
      </w:pPr>
      <w:r>
        <w:t xml:space="preserve"/>
      </w:r>
    </w:p>
    <w:p>
      <w:pPr>
        <w:spacing w:after="140" w:line="276"/>
      </w:pPr>
      <w:r>
        <w:rPr>
          <w:rFonts w:ascii="Arial" w:cs="Arial" w:eastAsia="Arial" w:hAnsi="Arial"/>
          <w:sz w:val="21"/>
          <w:szCs w:val="21"/>
        </w:rPr>
        <w:t xml:space="preserve">The base case is sensitive to volume, pricing, and cost assumptions. The principal risks, and proposed mitigations, are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600"/>
        <w:gridCol w:w="4400"/>
      </w:tblGrid>
      <w:tr>
        <w:trPr>
          <w:tblHeader/>
        </w:trPr>
        <w:tc>
          <w:tcPr>
            <w:tcW w:type="dxa" w:w="336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Risk</w:t>
            </w:r>
          </w:p>
        </w:tc>
        <w:tc>
          <w:tcPr>
            <w:tcW w:type="dxa" w:w="160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Impact</w:t>
            </w:r>
          </w:p>
        </w:tc>
        <w:tc>
          <w:tcPr>
            <w:tcW w:type="dxa" w:w="440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Mitigation</w:t>
            </w:r>
          </w:p>
        </w:tc>
      </w:tr>
      <w:tr>
        <w:tc>
          <w:tcPr>
            <w:tcW w:type="dxa" w:w="336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Slower-than-planned adoption</w:t>
            </w:r>
          </w:p>
        </w:tc>
        <w:tc>
          <w:tcPr>
            <w:tcW w:type="dxa" w:w="16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High</w:t>
            </w:r>
          </w:p>
        </w:tc>
        <w:tc>
          <w:tcPr>
            <w:tcW w:type="dxa" w:w="44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Phased launch; demand-shaped production</w:t>
            </w:r>
          </w:p>
        </w:tc>
      </w:tr>
      <w:tr>
        <w:tc>
          <w:tcPr>
            <w:tcW w:type="dxa" w:w="336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Cannibalization of existing line</w:t>
            </w:r>
          </w:p>
        </w:tc>
        <w:tc>
          <w:tcPr>
            <w:tcW w:type="dxa" w:w="16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Medium</w:t>
            </w:r>
          </w:p>
        </w:tc>
        <w:tc>
          <w:tcPr>
            <w:tcW w:type="dxa" w:w="44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Clear tiering and price separation</w:t>
            </w:r>
          </w:p>
        </w:tc>
      </w:tr>
      <w:tr>
        <w:tc>
          <w:tcPr>
            <w:tcW w:type="dxa" w:w="336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Component cost inflation</w:t>
            </w:r>
          </w:p>
        </w:tc>
        <w:tc>
          <w:tcPr>
            <w:tcW w:type="dxa" w:w="16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Medium</w:t>
            </w:r>
          </w:p>
        </w:tc>
        <w:tc>
          <w:tcPr>
            <w:tcW w:type="dxa" w:w="44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Multi-source supply; hedging</w:t>
            </w:r>
          </w:p>
        </w:tc>
      </w:tr>
      <w:tr>
        <w:tc>
          <w:tcPr>
            <w:tcW w:type="dxa" w:w="336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Competitive price pressure</w:t>
            </w:r>
          </w:p>
        </w:tc>
        <w:tc>
          <w:tcPr>
            <w:tcW w:type="dxa" w:w="16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Medium</w:t>
            </w:r>
          </w:p>
        </w:tc>
        <w:tc>
          <w:tcPr>
            <w:tcW w:type="dxa" w:w="44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Differentiate on health and ecosystem</w:t>
            </w:r>
          </w:p>
        </w:tc>
      </w:tr>
      <w:tr>
        <w:tc>
          <w:tcPr>
            <w:tcW w:type="dxa" w:w="336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Regulatory / health-claim scrutiny</w:t>
            </w:r>
          </w:p>
        </w:tc>
        <w:tc>
          <w:tcPr>
            <w:tcW w:type="dxa" w:w="16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Medium</w:t>
            </w:r>
          </w:p>
        </w:tc>
        <w:tc>
          <w:tcPr>
            <w:tcW w:type="dxa" w:w="44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Early certification; conservative claims</w:t>
            </w:r>
          </w:p>
        </w:tc>
      </w:tr>
    </w:tbl>
    <w:p>
      <w:pPr>
        <w:spacing w:after="40" w:line="276"/>
      </w:pPr>
      <w:r>
        <w:rPr>
          <w:rFonts w:ascii="Arial" w:cs="Arial" w:eastAsia="Arial" w:hAnsi="Arial"/>
          <w:sz w:val="21"/>
          <w:szCs w:val="21"/>
        </w:rPr>
        <w:t xml:space="preserve"/>
      </w:r>
    </w:p>
    <w:p>
      <w:pPr>
        <w:pStyle w:val="Heading2"/>
      </w:pPr>
      <w:r>
        <w:t xml:space="preserve">Sensitivity (NPV, $bn)</w:t>
      </w:r>
    </w:p>
    <w:p>
      <w:pPr>
        <w:spacing w:after="140" w:line="276"/>
      </w:pPr>
      <w:r>
        <w:rPr>
          <w:rFonts w:ascii="Arial" w:cs="Arial" w:eastAsia="Arial" w:hAnsi="Arial"/>
          <w:sz w:val="21"/>
          <w:szCs w:val="21"/>
        </w:rPr>
        <w:t xml:space="preserve">NPV under varying Year-1 volume and ASP assumptions, holding other drivers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ASP \ Units</w:t>
            </w:r>
          </w:p>
        </w:tc>
        <w:tc>
          <w:tcPr>
            <w:tcW w:type="dxa" w:w="220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10.0m</w:t>
            </w:r>
          </w:p>
        </w:tc>
        <w:tc>
          <w:tcPr>
            <w:tcW w:type="dxa" w:w="220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12.0m</w:t>
            </w:r>
          </w:p>
        </w:tc>
        <w:tc>
          <w:tcPr>
            <w:tcW w:type="dxa" w:w="220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14.0m</w:t>
            </w:r>
          </w:p>
        </w:tc>
      </w:tr>
      <w:tr>
        <w:tc>
          <w:tcPr>
            <w:tcW w:type="dxa" w:w="276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1A"/>
                <w:sz w:val="19"/>
                <w:szCs w:val="19"/>
              </w:rPr>
              <w:t xml:space="preserve">$379</w:t>
            </w:r>
          </w:p>
        </w:tc>
        <w:tc>
          <w:tcPr>
            <w:tcW w:type="dxa" w:w="22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1.9</w:t>
            </w:r>
          </w:p>
        </w:tc>
        <w:tc>
          <w:tcPr>
            <w:tcW w:type="dxa" w:w="22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2.6</w:t>
            </w:r>
          </w:p>
        </w:tc>
        <w:tc>
          <w:tcPr>
            <w:tcW w:type="dxa" w:w="22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3.3</w:t>
            </w:r>
          </w:p>
        </w:tc>
      </w:tr>
      <w:tr>
        <w:tc>
          <w:tcPr>
            <w:tcW w:type="dxa" w:w="276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left"/>
            </w:pPr>
            <w:r>
              <w:rPr>
                <w:rFonts w:ascii="Arial" w:cs="Arial" w:eastAsia="Arial" w:hAnsi="Arial"/>
                <w:b/>
                <w:bCs/>
                <w:color w:val="1A1A1A"/>
                <w:sz w:val="19"/>
                <w:szCs w:val="19"/>
              </w:rPr>
              <w:t xml:space="preserve">$399</w:t>
            </w:r>
          </w:p>
        </w:tc>
        <w:tc>
          <w:tcPr>
            <w:tcW w:type="dxa" w:w="22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2.3</w:t>
            </w:r>
          </w:p>
        </w:tc>
        <w:tc>
          <w:tcPr>
            <w:tcW w:type="dxa" w:w="22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3.0</w:t>
            </w:r>
          </w:p>
        </w:tc>
        <w:tc>
          <w:tcPr>
            <w:tcW w:type="dxa" w:w="22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3.8</w:t>
            </w:r>
          </w:p>
        </w:tc>
      </w:tr>
      <w:tr>
        <w:tc>
          <w:tcPr>
            <w:tcW w:type="dxa" w:w="276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left"/>
            </w:pPr>
            <w:r>
              <w:rPr>
                <w:rFonts w:ascii="Arial" w:cs="Arial" w:eastAsia="Arial" w:hAnsi="Arial"/>
                <w:b/>
                <w:bCs/>
                <w:color w:val="1A1A1A"/>
                <w:sz w:val="19"/>
                <w:szCs w:val="19"/>
              </w:rPr>
              <w:t xml:space="preserve">$419</w:t>
            </w:r>
          </w:p>
        </w:tc>
        <w:tc>
          <w:tcPr>
            <w:tcW w:type="dxa" w:w="22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2.7</w:t>
            </w:r>
          </w:p>
        </w:tc>
        <w:tc>
          <w:tcPr>
            <w:tcW w:type="dxa" w:w="22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3.5</w:t>
            </w:r>
          </w:p>
        </w:tc>
        <w:tc>
          <w:tcPr>
            <w:tcW w:type="dxa" w:w="22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4.3</w:t>
            </w:r>
          </w:p>
        </w:tc>
      </w:tr>
    </w:tbl>
    <w:p>
      <w:pPr>
        <w:pStyle w:val="Heading1"/>
        <w:pageBreakBefore/>
      </w:pPr>
      <w:r>
        <w:t xml:space="preserve">7. Implementation Timeline</w:t>
      </w:r>
    </w:p>
    <w:p>
      <w:pPr>
        <w:pBdr>
          <w:bottom w:val="single" w:color="C9A24B" w:sz="6" w:space="1"/>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2400"/>
        <w:gridCol w:w="4400"/>
      </w:tblGrid>
      <w:tr>
        <w:trPr>
          <w:tblHeader/>
        </w:trPr>
        <w:tc>
          <w:tcPr>
            <w:tcW w:type="dxa" w:w="256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Phase</w:t>
            </w:r>
          </w:p>
        </w:tc>
        <w:tc>
          <w:tcPr>
            <w:tcW w:type="dxa" w:w="240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Window</w:t>
            </w:r>
          </w:p>
        </w:tc>
        <w:tc>
          <w:tcPr>
            <w:tcW w:type="dxa" w:w="4400"/>
            <w:tcBorders>
              <w:top w:val="single" w:color="CCD6E0" w:sz="1"/>
              <w:left w:val="single" w:color="CCD6E0" w:sz="1"/>
              <w:bottom w:val="single" w:color="CCD6E0" w:sz="1"/>
              <w:right w:val="single" w:color="CCD6E0" w:sz="1"/>
            </w:tcBorders>
            <w:shd w:fill="1F3354"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Key milestones</w:t>
            </w:r>
          </w:p>
        </w:tc>
      </w:tr>
      <w:tr>
        <w:tc>
          <w:tcPr>
            <w:tcW w:type="dxa" w:w="256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Approve &amp; fund</w:t>
            </w:r>
          </w:p>
        </w:tc>
        <w:tc>
          <w:tcPr>
            <w:tcW w:type="dxa" w:w="24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Q3 2026</w:t>
            </w:r>
          </w:p>
        </w:tc>
        <w:tc>
          <w:tcPr>
            <w:tcW w:type="dxa" w:w="44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Investment committee sign-off; budget release</w:t>
            </w:r>
          </w:p>
        </w:tc>
      </w:tr>
      <w:tr>
        <w:tc>
          <w:tcPr>
            <w:tcW w:type="dxa" w:w="256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Detailed design</w:t>
            </w:r>
          </w:p>
        </w:tc>
        <w:tc>
          <w:tcPr>
            <w:tcW w:type="dxa" w:w="24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Q4 2026 – Q1 2027</w:t>
            </w:r>
          </w:p>
        </w:tc>
        <w:tc>
          <w:tcPr>
            <w:tcW w:type="dxa" w:w="44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Sensor validation; design freeze</w:t>
            </w:r>
          </w:p>
        </w:tc>
      </w:tr>
      <w:tr>
        <w:tc>
          <w:tcPr>
            <w:tcW w:type="dxa" w:w="256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Tooling &amp; pilot</w:t>
            </w:r>
          </w:p>
        </w:tc>
        <w:tc>
          <w:tcPr>
            <w:tcW w:type="dxa" w:w="24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Q2 2027</w:t>
            </w:r>
          </w:p>
        </w:tc>
        <w:tc>
          <w:tcPr>
            <w:tcW w:type="dxa" w:w="44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Pilot production; certification</w:t>
            </w:r>
          </w:p>
        </w:tc>
      </w:tr>
      <w:tr>
        <w:tc>
          <w:tcPr>
            <w:tcW w:type="dxa" w:w="256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Ramp &amp; launch</w:t>
            </w:r>
          </w:p>
        </w:tc>
        <w:tc>
          <w:tcPr>
            <w:tcW w:type="dxa" w:w="24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Q3 2027</w:t>
            </w:r>
          </w:p>
        </w:tc>
        <w:tc>
          <w:tcPr>
            <w:tcW w:type="dxa" w:w="4400"/>
            <w:tcBorders>
              <w:top w:val="single" w:color="CCD6E0" w:sz="1"/>
              <w:left w:val="single" w:color="CCD6E0" w:sz="1"/>
              <w:bottom w:val="single" w:color="CCD6E0" w:sz="1"/>
              <w:right w:val="single" w:color="CCD6E0" w:sz="1"/>
            </w:tcBorders>
            <w:shd w:fill="F4F7FA"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Commercial launch (Year 1 begins)</w:t>
            </w:r>
          </w:p>
        </w:tc>
      </w:tr>
      <w:tr>
        <w:tc>
          <w:tcPr>
            <w:tcW w:type="dxa" w:w="256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1A"/>
                <w:sz w:val="19"/>
                <w:szCs w:val="19"/>
              </w:rPr>
              <w:t xml:space="preserve">Scale</w:t>
            </w:r>
          </w:p>
        </w:tc>
        <w:tc>
          <w:tcPr>
            <w:tcW w:type="dxa" w:w="24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FY2028+</w:t>
            </w:r>
          </w:p>
        </w:tc>
        <w:tc>
          <w:tcPr>
            <w:tcW w:type="dxa" w:w="4400"/>
            <w:tcBorders>
              <w:top w:val="single" w:color="CCD6E0" w:sz="1"/>
              <w:left w:val="single" w:color="CCD6E0" w:sz="1"/>
              <w:bottom w:val="single" w:color="CCD6E0" w:sz="1"/>
              <w:right w:val="single" w:color="CCD6E0"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1A"/>
                <w:sz w:val="19"/>
                <w:szCs w:val="19"/>
              </w:rPr>
              <w:t xml:space="preserve">Capacity expansion; ASP/mix management</w:t>
            </w:r>
          </w:p>
        </w:tc>
      </w:tr>
    </w:tbl>
    <w:p>
      <w:pPr>
        <w:pStyle w:val="Heading1"/>
        <w:pageBreakBefore/>
      </w:pPr>
      <w:r>
        <w:t xml:space="preserve">8. Recommendation</w:t>
      </w:r>
    </w:p>
    <w:p>
      <w:pPr>
        <w:pBdr>
          <w:bottom w:val="single" w:color="C9A24B" w:sz="6" w:space="1"/>
        </w:pBdr>
        <w:spacing w:after="120"/>
      </w:pPr>
      <w:r>
        <w:t xml:space="preserve"/>
      </w:r>
    </w:p>
    <w:p>
      <w:pPr>
        <w:spacing w:after="140" w:line="276"/>
      </w:pPr>
      <w:r>
        <w:rPr>
          <w:rFonts w:ascii="Arial" w:cs="Arial" w:eastAsia="Arial" w:hAnsi="Arial"/>
          <w:sz w:val="21"/>
          <w:szCs w:val="21"/>
        </w:rPr>
        <w:t xml:space="preserve">On the basis of the analysis set out above, Halstead Partners recommends that Apple Inc. proceed with Project Aurora and release the initial $2.20bn of funding to begin detailed design and tooling.</w:t>
      </w:r>
    </w:p>
    <w:p>
      <w:pPr>
        <w:pStyle w:val="ListParagraph"/>
        <w:numPr>
          <w:ilvl w:val="0"/>
          <w:numId w:val="2"/>
        </w:numPr>
        <w:spacing w:after="80" w:line="270"/>
      </w:pPr>
      <w:r>
        <w:rPr>
          <w:rFonts w:ascii="Arial" w:cs="Arial" w:eastAsia="Arial" w:hAnsi="Arial"/>
          <w:sz w:val="21"/>
          <w:szCs w:val="21"/>
        </w:rPr>
        <w:t xml:space="preserve">The base case delivers a net present value of approximately $3.0bn and an IRR near 44%, well above a 10% cost of capital.</w:t>
      </w:r>
    </w:p>
    <w:p>
      <w:pPr>
        <w:pStyle w:val="ListParagraph"/>
        <w:numPr>
          <w:ilvl w:val="0"/>
          <w:numId w:val="2"/>
        </w:numPr>
        <w:spacing w:after="80" w:line="270"/>
      </w:pPr>
      <w:r>
        <w:rPr>
          <w:rFonts w:ascii="Arial" w:cs="Arial" w:eastAsia="Arial" w:hAnsi="Arial"/>
          <w:sz w:val="21"/>
          <w:szCs w:val="21"/>
        </w:rPr>
        <w:t xml:space="preserve">Returns remain positive across the sensitivity range tested, indicating a robust risk-adjusted profile.</w:t>
      </w:r>
    </w:p>
    <w:p>
      <w:pPr>
        <w:pStyle w:val="ListParagraph"/>
        <w:numPr>
          <w:ilvl w:val="0"/>
          <w:numId w:val="2"/>
        </w:numPr>
        <w:spacing w:after="80" w:line="270"/>
      </w:pPr>
      <w:r>
        <w:rPr>
          <w:rFonts w:ascii="Arial" w:cs="Arial" w:eastAsia="Arial" w:hAnsi="Arial"/>
          <w:sz w:val="21"/>
          <w:szCs w:val="21"/>
        </w:rPr>
        <w:t xml:space="preserve">The program strengthens Apple’s position in a fast-growing premium segment and deepens ecosystem and services engagement.</w:t>
      </w:r>
    </w:p>
    <w:p>
      <w:pPr>
        <w:spacing w:after="60" w:line="276"/>
      </w:pPr>
      <w:r>
        <w:rPr>
          <w:rFonts w:ascii="Arial" w:cs="Arial" w:eastAsia="Arial" w:hAnsi="Arial"/>
          <w:sz w:val="21"/>
          <w:szCs w:val="21"/>
        </w:rPr>
        <w:t xml:space="preserve"/>
      </w:r>
    </w:p>
    <w:p>
      <w:pPr>
        <w:spacing w:after="140" w:line="276"/>
      </w:pPr>
      <w:r>
        <w:rPr>
          <w:rFonts w:ascii="Arial" w:cs="Arial" w:eastAsia="Arial" w:hAnsi="Arial"/>
          <w:sz w:val="21"/>
          <w:szCs w:val="21"/>
        </w:rPr>
        <w:t xml:space="preserve">We would propose a stage-gated funding structure, with the next capital tranche released on completion of design freeze and certification milestones.</w:t>
      </w:r>
    </w:p>
    <w:p>
      <w:pPr>
        <w:spacing w:after="60" w:before="600"/>
      </w:pPr>
      <w:r>
        <w:rPr>
          <w:rFonts w:ascii="Arial" w:cs="Arial" w:eastAsia="Arial" w:hAnsi="Arial"/>
          <w:b/>
          <w:bCs/>
          <w:color w:val="1F3354"/>
          <w:sz w:val="21"/>
          <w:szCs w:val="21"/>
        </w:rPr>
        <w:t xml:space="preserve">Prepared by the Corporate Finance Group</w:t>
      </w:r>
    </w:p>
    <w:p>
      <w:pPr>
        <w:spacing w:after="140" w:line="276"/>
      </w:pPr>
      <w:r>
        <w:rPr>
          <w:rFonts w:ascii="Arial" w:cs="Arial" w:eastAsia="Arial" w:hAnsi="Arial"/>
          <w:color w:val="6B7280"/>
          <w:sz w:val="20"/>
          <w:szCs w:val="20"/>
        </w:rPr>
        <w:t xml:space="preserve">Halstead Partners LLP  ·  June 2026</w:t>
      </w:r>
    </w:p>
    <w:p>
      <w:pPr>
        <w:pStyle w:val="Heading2"/>
        <w:pageBreakBefore/>
      </w:pPr>
      <w:r>
        <w:t xml:space="preserve">Important Notice</w:t>
      </w:r>
    </w:p>
    <w:p>
      <w:pPr>
        <w:pBdr>
          <w:bottom w:val="single" w:color="C9A24B" w:sz="6" w:space="1"/>
        </w:pBdr>
        <w:spacing w:after="120"/>
      </w:pPr>
      <w:r>
        <w:t xml:space="preserve"/>
      </w:r>
    </w:p>
    <w:p>
      <w:pPr>
        <w:spacing w:after="140" w:line="276"/>
      </w:pPr>
      <w:r>
        <w:rPr>
          <w:rFonts w:ascii="Arial" w:cs="Arial" w:eastAsia="Arial" w:hAnsi="Arial"/>
          <w:color w:val="6B7280"/>
          <w:sz w:val="18"/>
          <w:szCs w:val="18"/>
        </w:rPr>
        <w:t xml:space="preserve">This document is an illustrative, fictional sample created for demonstration purposes. “Halstead Partners,” “Project Aurora,” and all financial figures, projections, and assumptions contained herein are invented and do not represent the actual financial data, forecasts, products, or plans of Apple Inc. or any other entity. Nothing in this document constitutes financial, investment, legal, or other professional advice, an offer, or a recommendation to take any action. No reliance should be placed on its contents.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D6E0" w:sz="4" w:space="6"/>
      </w:pBdr>
      <w:tabs>
        <w:tab w:val="right" w:pos="9360"/>
      </w:tabs>
    </w:pPr>
    <w:r>
      <w:rPr>
        <w:rFonts w:ascii="Arial" w:cs="Arial" w:eastAsia="Arial" w:hAnsi="Arial"/>
        <w:i/>
        <w:iCs/>
        <w:color w:val="6B7280"/>
        <w:sz w:val="14"/>
        <w:szCs w:val="14"/>
      </w:rPr>
      <w:t xml:space="preserve">Illustrative sample — not financial advice</w:t>
    </w:r>
    <w:r>
      <w:rPr>
        <w:rFonts w:ascii="Arial" w:cs="Arial" w:eastAsia="Arial" w:hAnsi="Arial"/>
        <w:color w:val="6B7280"/>
        <w:sz w:val="15"/>
        <w:szCs w:val="15"/>
      </w:rPr>
      <w:t xml:space="preserve">	Page </w:t>
    </w:r>
    <w:r>
      <w:rPr>
        <w:rFonts w:ascii="Arial" w:cs="Arial" w:eastAsia="Arial" w:hAnsi="Arial"/>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6E0" w:sz="4" w:space="6"/>
      </w:pBdr>
      <w:tabs>
        <w:tab w:val="right" w:pos="9360"/>
      </w:tabs>
    </w:pPr>
    <w:r>
      <w:rPr>
        <w:rFonts w:ascii="Arial" w:cs="Arial" w:eastAsia="Arial" w:hAnsi="Arial"/>
        <w:b/>
        <w:bCs/>
        <w:color w:val="1F3354"/>
        <w:spacing w:val="30"/>
        <w:sz w:val="15"/>
        <w:szCs w:val="15"/>
      </w:rPr>
      <w:t xml:space="preserve">HALSTEAD PARTNERS</w:t>
    </w:r>
    <w:r>
      <w:rPr>
        <w:rFonts w:ascii="Arial" w:cs="Arial" w:eastAsia="Arial" w:hAnsi="Arial"/>
        <w:color w:val="6B7280"/>
        <w:sz w:val="15"/>
        <w:szCs w:val="15"/>
      </w:rPr>
      <w:t xml:space="preserve">	Project Aurora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C9A24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F335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Aurora — Financial Proposal (Illustrative)</dc:title>
  <dc:creator>Halstead Partners LLP</dc:creator>
  <cp:lastModifiedBy>Un-named</cp:lastModifiedBy>
  <cp:revision>1</cp:revision>
  <dcterms:created xsi:type="dcterms:W3CDTF">2026-06-12T04:33:02.511Z</dcterms:created>
  <dcterms:modified xsi:type="dcterms:W3CDTF">2026-06-12T04:33:02.511Z</dcterms:modified>
</cp:coreProperties>
</file>

<file path=docProps/custom.xml><?xml version="1.0" encoding="utf-8"?>
<Properties xmlns="http://schemas.openxmlformats.org/officeDocument/2006/custom-properties" xmlns:vt="http://schemas.openxmlformats.org/officeDocument/2006/docPropsVTypes"/>
</file>