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20"/>
      </w:pPr>
      <w:r>
        <w:rPr>
          <w:rFonts w:ascii="Arial" w:cs="Arial" w:eastAsia="Arial" w:hAnsi="Arial"/>
          <w:b/>
          <w:bCs/>
          <w:color w:val="1F3354"/>
          <w:spacing w:val="40"/>
          <w:sz w:val="26"/>
          <w:szCs w:val="26"/>
        </w:rPr>
        <w:t xml:space="preserve">HALSTEAD PARTNERS</w:t>
      </w:r>
      <w:r>
        <w:rPr>
          <w:rFonts w:ascii="Arial" w:cs="Arial" w:eastAsia="Arial" w:hAnsi="Arial"/>
          <w:color w:val="6B7280"/>
          <w:sz w:val="16"/>
          <w:szCs w:val="16"/>
        </w:rPr>
        <w:t xml:space="preserve">	Confidential</w:t>
      </w:r>
    </w:p>
    <w:p>
      <w:pPr>
        <w:pBdr>
          <w:bottom w:val="single" w:color="C9A24B" w:sz="12" w:space="6"/>
        </w:pBdr>
        <w:spacing w:after="140"/>
      </w:pPr>
    </w:p>
    <w:p>
      <w:pPr>
        <w:spacing w:after="10"/>
      </w:pPr>
      <w:r>
        <w:rPr>
          <w:rFonts w:ascii="Arial" w:cs="Arial" w:eastAsia="Arial" w:hAnsi="Arial"/>
          <w:b/>
          <w:bCs/>
          <w:color w:val="1F3354"/>
          <w:sz w:val="32"/>
          <w:szCs w:val="32"/>
        </w:rPr>
        <w:t xml:space="preserve">Financial Proposal — Project Aurora</w:t>
      </w:r>
    </w:p>
    <w:p>
      <w:pPr>
        <w:spacing w:after="30"/>
      </w:pPr>
      <w:r>
        <w:rPr>
          <w:rFonts w:ascii="Arial" w:cs="Arial" w:eastAsia="Arial" w:hAnsi="Arial"/>
          <w:color w:val="2E5C8A"/>
          <w:sz w:val="21"/>
          <w:szCs w:val="21"/>
        </w:rPr>
        <w:t xml:space="preserve">Business Case for a Next-Generation Smartwatch Line</w:t>
      </w:r>
    </w:p>
    <w:p>
      <w:pPr>
        <w:spacing w:after="180"/>
      </w:pPr>
      <w:r>
        <w:rPr>
          <w:rFonts w:ascii="Arial" w:cs="Arial" w:eastAsia="Arial" w:hAnsi="Arial"/>
          <w:color w:val="6B7280"/>
          <w:sz w:val="16"/>
          <w:szCs w:val="16"/>
        </w:rPr>
        <w:t xml:space="preserve">Prepared for Apple Inc.  ·  by Halstead Partners LLP, Corporate Finance Group  ·  June 2026  ·  Ref HP-AAPL-2026-014</w:t>
      </w:r>
    </w:p>
    <w:p>
      <w:pPr>
        <w:pStyle w:val="Heading1"/>
      </w:pPr>
      <w:r>
        <w:t xml:space="preserve">1. Executive Summary</w:t>
      </w:r>
    </w:p>
    <w:p>
      <w:pPr>
        <w:pBdr>
          <w:bottom w:val="single" w:color="C9A24B" w:sz="6" w:space="1"/>
        </w:pBdr>
        <w:spacing w:after="80"/>
      </w:pPr>
      <w:r>
        <w:t xml:space="preserve"/>
      </w:r>
    </w:p>
    <w:p>
      <w:pPr>
        <w:spacing w:after="90" w:line="250"/>
      </w:pPr>
      <w:r>
        <w:rPr>
          <w:rFonts w:ascii="Arial" w:cs="Arial" w:eastAsia="Arial" w:hAnsi="Arial"/>
          <w:sz w:val="18"/>
          <w:szCs w:val="18"/>
        </w:rPr>
        <w:t xml:space="preserve">Halstead Partners has evaluated the financial viability of Project Aurora — a premium, health-centric smartwatch positioned within Apple’s existing Apple Watch family. We recommend Apple proceed. Under our base case, the program generates roughly $9.7bn of cumulative operating income over five years on peak-year revenue of about $11.1bn, with an NPV of ~$3.0bn and an IRR of ~44%.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0"/>
        <w:gridCol w:w="2220"/>
        <w:gridCol w:w="2820"/>
        <w:gridCol w:w="2220"/>
      </w:tblGrid>
      <w:tr>
        <w:trPr>
          <w:tblHeader/>
        </w:trPr>
        <w:tc>
          <w:tcPr>
            <w:tcW w:type="dxa" w:w="28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left"/>
            </w:pPr>
            <w:r>
              <w:rPr>
                <w:rFonts w:ascii="Arial" w:cs="Arial" w:eastAsia="Arial" w:hAnsi="Arial"/>
                <w:b/>
                <w:bCs/>
                <w:color w:val="FFFFFF"/>
                <w:sz w:val="17"/>
                <w:szCs w:val="17"/>
              </w:rPr>
              <w:t xml:space="preserve">Metric</w:t>
            </w:r>
          </w:p>
        </w:tc>
        <w:tc>
          <w:tcPr>
            <w:tcW w:type="dxa" w:w="22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Value</w:t>
            </w:r>
          </w:p>
        </w:tc>
        <w:tc>
          <w:tcPr>
            <w:tcW w:type="dxa" w:w="28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Metric</w:t>
            </w:r>
          </w:p>
        </w:tc>
        <w:tc>
          <w:tcPr>
            <w:tcW w:type="dxa" w:w="22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Value</w:t>
            </w:r>
          </w:p>
        </w:tc>
      </w:tr>
      <w:tr>
        <w:tc>
          <w:tcPr>
            <w:tcW w:type="dxa" w:w="28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Initial investment</w:t>
            </w:r>
          </w:p>
        </w:tc>
        <w:tc>
          <w:tcPr>
            <w:tcW w:type="dxa" w:w="22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$2.20bn</w:t>
            </w:r>
          </w:p>
        </w:tc>
        <w:tc>
          <w:tcPr>
            <w:tcW w:type="dxa" w:w="28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NPV (10%)</w:t>
            </w:r>
          </w:p>
        </w:tc>
        <w:tc>
          <w:tcPr>
            <w:tcW w:type="dxa" w:w="22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$3.02bn</w:t>
            </w:r>
          </w:p>
        </w:tc>
      </w:tr>
      <w:tr>
        <w:tc>
          <w:tcPr>
            <w:tcW w:type="dxa" w:w="28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Year 1 revenue</w:t>
            </w:r>
          </w:p>
        </w:tc>
        <w:tc>
          <w:tcPr>
            <w:tcW w:type="dxa" w:w="22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$4.79bn</w:t>
            </w:r>
          </w:p>
        </w:tc>
        <w:tc>
          <w:tcPr>
            <w:tcW w:type="dxa" w:w="28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IRR</w:t>
            </w:r>
          </w:p>
        </w:tc>
        <w:tc>
          <w:tcPr>
            <w:tcW w:type="dxa" w:w="22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~44%</w:t>
            </w:r>
          </w:p>
        </w:tc>
      </w:tr>
      <w:tr>
        <w:tc>
          <w:tcPr>
            <w:tcW w:type="dxa" w:w="28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Year 5 revenue</w:t>
            </w:r>
          </w:p>
        </w:tc>
        <w:tc>
          <w:tcPr>
            <w:tcW w:type="dxa" w:w="22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$11.13bn</w:t>
            </w:r>
          </w:p>
        </w:tc>
        <w:tc>
          <w:tcPr>
            <w:tcW w:type="dxa" w:w="28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Payback</w:t>
            </w:r>
          </w:p>
        </w:tc>
        <w:tc>
          <w:tcPr>
            <w:tcW w:type="dxa" w:w="22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~2.6 yrs</w:t>
            </w:r>
          </w:p>
        </w:tc>
      </w:tr>
      <w:tr>
        <w:tc>
          <w:tcPr>
            <w:tcW w:type="dxa" w:w="28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5-yr operating income</w:t>
            </w:r>
          </w:p>
        </w:tc>
        <w:tc>
          <w:tcPr>
            <w:tcW w:type="dxa" w:w="22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$9.73bn</w:t>
            </w:r>
          </w:p>
        </w:tc>
        <w:tc>
          <w:tcPr>
            <w:tcW w:type="dxa" w:w="28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Return on investment</w:t>
            </w:r>
          </w:p>
        </w:tc>
        <w:tc>
          <w:tcPr>
            <w:tcW w:type="dxa" w:w="22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~4.4x</w:t>
            </w:r>
          </w:p>
        </w:tc>
      </w:tr>
    </w:tbl>
    <w:p>
      <w:pPr>
        <w:pStyle w:val="Heading1"/>
      </w:pPr>
      <w:r>
        <w:t xml:space="preserve">2. Market Opportunity</w:t>
      </w:r>
    </w:p>
    <w:p>
      <w:pPr>
        <w:pBdr>
          <w:bottom w:val="single" w:color="C9A24B" w:sz="6" w:space="1"/>
        </w:pBdr>
        <w:spacing w:after="80"/>
      </w:pPr>
      <w:r>
        <w:t xml:space="preserve"/>
      </w:r>
    </w:p>
    <w:p>
      <w:pPr>
        <w:spacing w:after="90" w:line="250"/>
      </w:pPr>
      <w:r>
        <w:rPr>
          <w:rFonts w:ascii="Arial" w:cs="Arial" w:eastAsia="Arial" w:hAnsi="Arial"/>
          <w:sz w:val="18"/>
          <w:szCs w:val="18"/>
        </w:rPr>
        <w:t xml:space="preserve">Demand for continuous health monitoring and premium wearables continues to grow, while wearables serve as a high-margin gateway into recurring services revenue. Project Aurora targets a mid-single-digit share of the premium segment by Year 5, achievable given Apple’s brand, retail footprint, and installed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560"/>
        <w:gridCol w:w="1560"/>
        <w:gridCol w:w="1560"/>
      </w:tblGrid>
      <w:tr>
        <w:trPr>
          <w:tblHeader/>
        </w:trPr>
        <w:tc>
          <w:tcPr>
            <w:tcW w:type="dxa" w:w="540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left"/>
            </w:pPr>
            <w:r>
              <w:rPr>
                <w:rFonts w:ascii="Arial" w:cs="Arial" w:eastAsia="Arial" w:hAnsi="Arial"/>
                <w:b/>
                <w:bCs/>
                <w:color w:val="FFFFFF"/>
                <w:sz w:val="17"/>
                <w:szCs w:val="17"/>
              </w:rPr>
              <w:t xml:space="preserve">Segment (illustrative)</w:t>
            </w:r>
          </w:p>
        </w:tc>
        <w:tc>
          <w:tcPr>
            <w:tcW w:type="dxa" w:w="156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2026</w:t>
            </w:r>
          </w:p>
        </w:tc>
        <w:tc>
          <w:tcPr>
            <w:tcW w:type="dxa" w:w="156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2029</w:t>
            </w:r>
          </w:p>
        </w:tc>
        <w:tc>
          <w:tcPr>
            <w:tcW w:type="dxa" w:w="156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CAGR</w:t>
            </w:r>
          </w:p>
        </w:tc>
      </w:tr>
      <w:tr>
        <w:tc>
          <w:tcPr>
            <w:tcW w:type="dxa" w:w="540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Premium smartwatch units (m)</w:t>
            </w:r>
          </w:p>
        </w:tc>
        <w:tc>
          <w:tcPr>
            <w:tcW w:type="dxa" w:w="15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118</w:t>
            </w:r>
          </w:p>
        </w:tc>
        <w:tc>
          <w:tcPr>
            <w:tcW w:type="dxa" w:w="15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186</w:t>
            </w:r>
          </w:p>
        </w:tc>
        <w:tc>
          <w:tcPr>
            <w:tcW w:type="dxa" w:w="15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16.4%</w:t>
            </w:r>
          </w:p>
        </w:tc>
      </w:tr>
      <w:tr>
        <w:tc>
          <w:tcPr>
            <w:tcW w:type="dxa" w:w="540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Premium smartwatch value ($bn)</w:t>
            </w:r>
          </w:p>
        </w:tc>
        <w:tc>
          <w:tcPr>
            <w:tcW w:type="dxa" w:w="15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47.2</w:t>
            </w:r>
          </w:p>
        </w:tc>
        <w:tc>
          <w:tcPr>
            <w:tcW w:type="dxa" w:w="15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78.9</w:t>
            </w:r>
          </w:p>
        </w:tc>
        <w:tc>
          <w:tcPr>
            <w:tcW w:type="dxa" w:w="15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18.7%</w:t>
            </w:r>
          </w:p>
        </w:tc>
      </w:tr>
      <w:tr>
        <w:tc>
          <w:tcPr>
            <w:tcW w:type="dxa" w:w="540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Target serviceable segment ($bn)</w:t>
            </w:r>
          </w:p>
        </w:tc>
        <w:tc>
          <w:tcPr>
            <w:tcW w:type="dxa" w:w="156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12.4</w:t>
            </w:r>
          </w:p>
        </w:tc>
        <w:tc>
          <w:tcPr>
            <w:tcW w:type="dxa" w:w="156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22.6</w:t>
            </w:r>
          </w:p>
        </w:tc>
        <w:tc>
          <w:tcPr>
            <w:tcW w:type="dxa" w:w="156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22.1%</w:t>
            </w:r>
          </w:p>
        </w:tc>
      </w:tr>
    </w:tbl>
    <w:p>
      <w:pPr>
        <w:pStyle w:val="Heading1"/>
      </w:pPr>
      <w:r>
        <w:t xml:space="preserve">3. Product Overview</w:t>
      </w:r>
    </w:p>
    <w:p>
      <w:pPr>
        <w:pBdr>
          <w:bottom w:val="single" w:color="C9A24B" w:sz="6" w:space="1"/>
        </w:pBdr>
        <w:spacing w:after="80"/>
      </w:pPr>
      <w:r>
        <w:t xml:space="preserve"/>
      </w:r>
    </w:p>
    <w:p>
      <w:pPr>
        <w:spacing w:after="90" w:line="250"/>
      </w:pPr>
      <w:r>
        <w:rPr>
          <w:rFonts w:ascii="Arial" w:cs="Arial" w:eastAsia="Arial" w:hAnsi="Arial"/>
          <w:b/>
          <w:bCs/>
          <w:sz w:val="18"/>
          <w:szCs w:val="18"/>
        </w:rPr>
        <w:t xml:space="preserve">Positioning: </w:t>
      </w:r>
      <w:r>
        <w:rPr>
          <w:rFonts w:ascii="Arial" w:cs="Arial" w:eastAsia="Arial" w:hAnsi="Arial"/>
          <w:sz w:val="18"/>
          <w:szCs w:val="18"/>
        </w:rPr>
        <w:t xml:space="preserve">premium flagship at a $399 launch ASP, differentiated by an advanced health-sensor array and multi-day battery, targeting health-focused, ecosystem-loyal upgraders. Launch is planned for Fiscal Year 2027 (Year 1 of the model), with a gradual ASP taper as the line matures, offset by improving unit economics at scale.</w:t>
      </w:r>
    </w:p>
    <w:p>
      <w:pPr>
        <w:pStyle w:val="Heading1"/>
        <w:pageBreakBefore/>
      </w:pPr>
      <w:r>
        <w:t xml:space="preserve">4. Financial Projections</w:t>
      </w:r>
    </w:p>
    <w:p>
      <w:pPr>
        <w:pBdr>
          <w:bottom w:val="single" w:color="C9A24B" w:sz="6" w:space="1"/>
        </w:pBdr>
        <w:spacing w:after="80"/>
      </w:pPr>
      <w:r>
        <w:t xml:space="preserve"/>
      </w:r>
    </w:p>
    <w:p>
      <w:pPr>
        <w:spacing w:after="90" w:line="250"/>
      </w:pPr>
      <w:r>
        <w:rPr>
          <w:rFonts w:ascii="Arial" w:cs="Arial" w:eastAsia="Arial" w:hAnsi="Arial"/>
          <w:sz w:val="18"/>
          <w:szCs w:val="18"/>
        </w:rPr>
        <w:t xml:space="preserve">The five-year model is built bottom-up from units and ASP, with gross margin and operating-expense ratios improving as the program scales. Figures in US dollars.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left"/>
            </w:pPr>
            <w:r>
              <w:rPr>
                <w:rFonts w:ascii="Arial" w:cs="Arial" w:eastAsia="Arial" w:hAnsi="Arial"/>
                <w:b/>
                <w:bCs/>
                <w:color w:val="FFFFFF"/>
                <w:sz w:val="17"/>
                <w:szCs w:val="17"/>
              </w:rPr>
              <w:t xml:space="preserve">$m unless noted</w:t>
            </w:r>
          </w:p>
        </w:tc>
        <w:tc>
          <w:tcPr>
            <w:tcW w:type="dxa" w:w="14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Year 1</w:t>
            </w:r>
          </w:p>
        </w:tc>
        <w:tc>
          <w:tcPr>
            <w:tcW w:type="dxa" w:w="14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Year 2</w:t>
            </w:r>
          </w:p>
        </w:tc>
        <w:tc>
          <w:tcPr>
            <w:tcW w:type="dxa" w:w="14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Year 3</w:t>
            </w:r>
          </w:p>
        </w:tc>
        <w:tc>
          <w:tcPr>
            <w:tcW w:type="dxa" w:w="14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Year 4</w:t>
            </w:r>
          </w:p>
        </w:tc>
        <w:tc>
          <w:tcPr>
            <w:tcW w:type="dxa" w:w="14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Year 5</w:t>
            </w:r>
          </w:p>
        </w:tc>
      </w:tr>
      <w:tr>
        <w:tc>
          <w:tcPr>
            <w:tcW w:type="dxa" w:w="28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Units (m)</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12.0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18.0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24.0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28.0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31.0</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ASP ($)</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399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389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379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369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359</w:t>
            </w:r>
          </w:p>
        </w:tc>
      </w:tr>
      <w:tr>
        <w:tc>
          <w:tcPr>
            <w:tcW w:type="dxa" w:w="28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Revenue</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4,788</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7,002</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9,096</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10,332</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11,129</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Gross profit</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1,772</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2,731</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3,729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4,339</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4,785</w:t>
            </w:r>
          </w:p>
        </w:tc>
      </w:tr>
      <w:tr>
        <w:tc>
          <w:tcPr>
            <w:tcW w:type="dxa" w:w="28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Gross margin %</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37.0%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39.0%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41.0%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42.0%</w:t>
            </w:r>
          </w:p>
        </w:tc>
        <w:tc>
          <w:tcPr>
            <w:tcW w:type="dxa" w:w="14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43.0%</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Operating expenses</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(1,053)</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(1,400)</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(1,637)</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(1,756)</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(1,781)</w:t>
            </w:r>
          </w:p>
        </w:tc>
      </w:tr>
      <w:tr>
        <w:tc>
          <w:tcPr>
            <w:tcW w:type="dxa" w:w="288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Operating income (EBIT)</w:t>
            </w:r>
          </w:p>
        </w:tc>
        <w:tc>
          <w:tcPr>
            <w:tcW w:type="dxa" w:w="144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719</w:t>
            </w:r>
          </w:p>
        </w:tc>
        <w:tc>
          <w:tcPr>
            <w:tcW w:type="dxa" w:w="144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1,331</w:t>
            </w:r>
          </w:p>
        </w:tc>
        <w:tc>
          <w:tcPr>
            <w:tcW w:type="dxa" w:w="144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2,092</w:t>
            </w:r>
          </w:p>
        </w:tc>
        <w:tc>
          <w:tcPr>
            <w:tcW w:type="dxa" w:w="144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2,583</w:t>
            </w:r>
          </w:p>
        </w:tc>
        <w:tc>
          <w:tcPr>
            <w:tcW w:type="dxa" w:w="144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3,004</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EBIT margin %</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15.0%</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19.0%</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23.0%</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25.0%</w:t>
            </w:r>
          </w:p>
        </w:tc>
        <w:tc>
          <w:tcPr>
            <w:tcW w:type="dxa" w:w="14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27.0%</w:t>
            </w:r>
          </w:p>
        </w:tc>
      </w:tr>
    </w:tbl>
    <w:p>
      <w:pPr>
        <w:spacing w:after="30" w:line="250"/>
      </w:pPr>
      <w:r>
        <w:rPr>
          <w:rFonts w:ascii="Arial" w:cs="Arial" w:eastAsia="Arial" w:hAnsi="Arial"/>
          <w:sz w:val="18"/>
          <w:szCs w:val="18"/>
        </w:rPr>
        <w:t xml:space="preserve"/>
      </w:r>
    </w:p>
    <w:p>
      <w:pPr>
        <w:spacing w:after="90" w:line="250"/>
      </w:pPr>
      <w:r>
        <w:rPr>
          <w:rFonts w:ascii="Arial" w:cs="Arial" w:eastAsia="Arial" w:hAnsi="Arial"/>
          <w:b/>
          <w:bCs/>
          <w:sz w:val="18"/>
          <w:szCs w:val="18"/>
        </w:rPr>
        <w:t xml:space="preserve">Assumptions: </w:t>
      </w:r>
      <w:r>
        <w:rPr>
          <w:rFonts w:ascii="Arial" w:cs="Arial" w:eastAsia="Arial" w:hAnsi="Arial"/>
          <w:sz w:val="18"/>
          <w:szCs w:val="18"/>
        </w:rPr>
        <w:t xml:space="preserve">operating-expense ratio falls from 22% to 16% of revenue; gross margin improves ~150bps/year; a 25% tax rate applies to cash flows; no material cannibalization of the existing line is assumed.</w:t>
      </w:r>
    </w:p>
    <w:p>
      <w:pPr>
        <w:pStyle w:val="Heading1"/>
      </w:pPr>
      <w:r>
        <w:t xml:space="preserve">5. Investment &amp; Returns</w:t>
      </w:r>
    </w:p>
    <w:p>
      <w:pPr>
        <w:pBdr>
          <w:bottom w:val="single" w:color="C9A24B" w:sz="6" w:space="1"/>
        </w:pBdr>
        <w:spacing w:after="80"/>
      </w:pPr>
      <w:r>
        <w:t xml:space="preserve"/>
      </w:r>
    </w:p>
    <w:p>
      <w:pPr>
        <w:spacing w:after="90" w:line="250"/>
      </w:pPr>
      <w:r>
        <w:rPr>
          <w:rFonts w:ascii="Arial" w:cs="Arial" w:eastAsia="Arial" w:hAnsi="Arial"/>
          <w:sz w:val="18"/>
          <w:szCs w:val="18"/>
        </w:rPr>
        <w:t xml:space="preserve">The program needs ~$2.20bn of upfront investment. After-tax cash flows are discounted at a 10% cost of capital; the program reaches cumulative break-even partway through Year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320"/>
        <w:gridCol w:w="3360"/>
        <w:gridCol w:w="2520"/>
      </w:tblGrid>
      <w:tr>
        <w:trPr>
          <w:tblHeader/>
        </w:trPr>
        <w:tc>
          <w:tcPr>
            <w:tcW w:type="dxa" w:w="288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left"/>
            </w:pPr>
            <w:r>
              <w:rPr>
                <w:rFonts w:ascii="Arial" w:cs="Arial" w:eastAsia="Arial" w:hAnsi="Arial"/>
                <w:b/>
                <w:bCs/>
                <w:color w:val="FFFFFF"/>
                <w:sz w:val="17"/>
                <w:szCs w:val="17"/>
              </w:rPr>
              <w:t xml:space="preserve">Use of funds ($m)</w:t>
            </w:r>
          </w:p>
        </w:tc>
        <w:tc>
          <w:tcPr>
            <w:tcW w:type="dxa" w:w="13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Amount</w:t>
            </w:r>
          </w:p>
        </w:tc>
        <w:tc>
          <w:tcPr>
            <w:tcW w:type="dxa" w:w="336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After-tax cash flow ($m)</w:t>
            </w:r>
          </w:p>
        </w:tc>
        <w:tc>
          <w:tcPr>
            <w:tcW w:type="dxa" w:w="252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Value</w:t>
            </w:r>
          </w:p>
        </w:tc>
      </w:tr>
      <w:tr>
        <w:tc>
          <w:tcPr>
            <w:tcW w:type="dxa" w:w="28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R&amp;D / engineering (NRE)</w:t>
            </w:r>
          </w:p>
        </w:tc>
        <w:tc>
          <w:tcPr>
            <w:tcW w:type="dxa" w:w="13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850</w:t>
            </w:r>
          </w:p>
        </w:tc>
        <w:tc>
          <w:tcPr>
            <w:tcW w:type="dxa" w:w="33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Year 0 (investment)</w:t>
            </w:r>
          </w:p>
        </w:tc>
        <w:tc>
          <w:tcPr>
            <w:tcW w:type="dxa" w:w="25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(2,200)</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Tooling &amp; manufacturing</w:t>
            </w:r>
          </w:p>
        </w:tc>
        <w:tc>
          <w:tcPr>
            <w:tcW w:type="dxa" w:w="13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620</w:t>
            </w:r>
          </w:p>
        </w:tc>
        <w:tc>
          <w:tcPr>
            <w:tcW w:type="dxa" w:w="33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Year 1</w:t>
            </w:r>
          </w:p>
        </w:tc>
        <w:tc>
          <w:tcPr>
            <w:tcW w:type="dxa" w:w="25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539</w:t>
            </w:r>
          </w:p>
        </w:tc>
      </w:tr>
      <w:tr>
        <w:tc>
          <w:tcPr>
            <w:tcW w:type="dxa" w:w="28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Launch marketing &amp; channel</w:t>
            </w:r>
          </w:p>
        </w:tc>
        <w:tc>
          <w:tcPr>
            <w:tcW w:type="dxa" w:w="13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400</w:t>
            </w:r>
          </w:p>
        </w:tc>
        <w:tc>
          <w:tcPr>
            <w:tcW w:type="dxa" w:w="33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Year 2</w:t>
            </w:r>
          </w:p>
        </w:tc>
        <w:tc>
          <w:tcPr>
            <w:tcW w:type="dxa" w:w="252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998</w:t>
            </w:r>
          </w:p>
        </w:tc>
      </w:tr>
      <w:tr>
        <w:tc>
          <w:tcPr>
            <w:tcW w:type="dxa" w:w="28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Initial working capital</w:t>
            </w:r>
          </w:p>
        </w:tc>
        <w:tc>
          <w:tcPr>
            <w:tcW w:type="dxa" w:w="13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330</w:t>
            </w:r>
          </w:p>
        </w:tc>
        <w:tc>
          <w:tcPr>
            <w:tcW w:type="dxa" w:w="33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Year 3</w:t>
            </w:r>
          </w:p>
        </w:tc>
        <w:tc>
          <w:tcPr>
            <w:tcW w:type="dxa" w:w="252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1,569</w:t>
            </w:r>
          </w:p>
        </w:tc>
      </w:tr>
      <w:tr>
        <w:tc>
          <w:tcPr>
            <w:tcW w:type="dxa" w:w="288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left"/>
            </w:pPr>
            <w:r>
              <w:rPr>
                <w:rFonts w:ascii="Arial" w:cs="Arial" w:eastAsia="Arial" w:hAnsi="Arial"/>
                <w:b/>
                <w:bCs/>
                <w:color w:val="1A1A1A"/>
                <w:sz w:val="17"/>
                <w:szCs w:val="17"/>
              </w:rPr>
              <w:t xml:space="preserve">Total initial investment</w:t>
            </w:r>
          </w:p>
        </w:tc>
        <w:tc>
          <w:tcPr>
            <w:tcW w:type="dxa" w:w="132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2,200</w:t>
            </w:r>
          </w:p>
        </w:tc>
        <w:tc>
          <w:tcPr>
            <w:tcW w:type="dxa" w:w="336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Years 4–5</w:t>
            </w:r>
          </w:p>
        </w:tc>
        <w:tc>
          <w:tcPr>
            <w:tcW w:type="dxa" w:w="2520"/>
            <w:tcBorders>
              <w:top w:val="single" w:color="CCD6E0" w:sz="1"/>
              <w:left w:val="single" w:color="CCD6E0" w:sz="1"/>
              <w:bottom w:val="single" w:color="CCD6E0" w:sz="1"/>
              <w:right w:val="single" w:color="CCD6E0" w:sz="1"/>
            </w:tcBorders>
            <w:shd w:fill="EAF0F6" w:val="clear"/>
            <w:tcMar>
              <w:top w:type="dxa" w:w="44"/>
              <w:left w:type="dxa" w:w="110"/>
              <w:bottom w:type="dxa" w:w="44"/>
              <w:right w:type="dxa" w:w="110"/>
            </w:tcMar>
            <w:vAlign w:val="center"/>
          </w:tcPr>
          <w:p>
            <w:pPr>
              <w:jc w:val="right"/>
            </w:pPr>
            <w:r>
              <w:rPr>
                <w:rFonts w:ascii="Arial" w:cs="Arial" w:eastAsia="Arial" w:hAnsi="Arial"/>
                <w:b/>
                <w:bCs/>
                <w:color w:val="1A1A1A"/>
                <w:sz w:val="17"/>
                <w:szCs w:val="17"/>
              </w:rPr>
              <w:t xml:space="preserve">1,937 / 2,253</w:t>
            </w:r>
          </w:p>
        </w:tc>
      </w:tr>
    </w:tbl>
    <w:p>
      <w:pPr>
        <w:pStyle w:val="Heading1"/>
      </w:pPr>
      <w:r>
        <w:t xml:space="preserve">6. Risk Assessment</w:t>
      </w:r>
    </w:p>
    <w:p>
      <w:pPr>
        <w:pBdr>
          <w:bottom w:val="single" w:color="C9A24B" w:sz="6" w:space="1"/>
        </w:pBd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1560"/>
        <w:gridCol w:w="5040"/>
      </w:tblGrid>
      <w:tr>
        <w:trPr>
          <w:tblHeader/>
        </w:trPr>
        <w:tc>
          <w:tcPr>
            <w:tcW w:type="dxa" w:w="348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left"/>
            </w:pPr>
            <w:r>
              <w:rPr>
                <w:rFonts w:ascii="Arial" w:cs="Arial" w:eastAsia="Arial" w:hAnsi="Arial"/>
                <w:b/>
                <w:bCs/>
                <w:color w:val="FFFFFF"/>
                <w:sz w:val="17"/>
                <w:szCs w:val="17"/>
              </w:rPr>
              <w:t xml:space="preserve">Risk</w:t>
            </w:r>
          </w:p>
        </w:tc>
        <w:tc>
          <w:tcPr>
            <w:tcW w:type="dxa" w:w="156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Impact</w:t>
            </w:r>
          </w:p>
        </w:tc>
        <w:tc>
          <w:tcPr>
            <w:tcW w:type="dxa" w:w="5040"/>
            <w:tcBorders>
              <w:top w:val="single" w:color="CCD6E0" w:sz="1"/>
              <w:left w:val="single" w:color="CCD6E0" w:sz="1"/>
              <w:bottom w:val="single" w:color="CCD6E0" w:sz="1"/>
              <w:right w:val="single" w:color="CCD6E0" w:sz="1"/>
            </w:tcBorders>
            <w:shd w:fill="1F3354" w:val="clear"/>
            <w:tcMar>
              <w:top w:type="dxa" w:w="50"/>
              <w:left w:type="dxa" w:w="110"/>
              <w:bottom w:type="dxa" w:w="50"/>
              <w:right w:type="dxa" w:w="110"/>
            </w:tcMar>
            <w:vAlign w:val="center"/>
          </w:tcPr>
          <w:p>
            <w:pPr>
              <w:jc w:val="right"/>
            </w:pPr>
            <w:r>
              <w:rPr>
                <w:rFonts w:ascii="Arial" w:cs="Arial" w:eastAsia="Arial" w:hAnsi="Arial"/>
                <w:b/>
                <w:bCs/>
                <w:color w:val="FFFFFF"/>
                <w:sz w:val="17"/>
                <w:szCs w:val="17"/>
              </w:rPr>
              <w:t xml:space="preserve">Mitigation</w:t>
            </w:r>
          </w:p>
        </w:tc>
      </w:tr>
      <w:tr>
        <w:tc>
          <w:tcPr>
            <w:tcW w:type="dxa" w:w="34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Slower-than-planned adoption</w:t>
            </w:r>
          </w:p>
        </w:tc>
        <w:tc>
          <w:tcPr>
            <w:tcW w:type="dxa" w:w="15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High</w:t>
            </w:r>
          </w:p>
        </w:tc>
        <w:tc>
          <w:tcPr>
            <w:tcW w:type="dxa" w:w="50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Phased launch; demand-shaped production</w:t>
            </w:r>
          </w:p>
        </w:tc>
      </w:tr>
      <w:tr>
        <w:tc>
          <w:tcPr>
            <w:tcW w:type="dxa" w:w="34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Cannibalization of existing line</w:t>
            </w:r>
          </w:p>
        </w:tc>
        <w:tc>
          <w:tcPr>
            <w:tcW w:type="dxa" w:w="15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Medium</w:t>
            </w:r>
          </w:p>
        </w:tc>
        <w:tc>
          <w:tcPr>
            <w:tcW w:type="dxa" w:w="50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Clear tiering and price separation</w:t>
            </w:r>
          </w:p>
        </w:tc>
      </w:tr>
      <w:tr>
        <w:tc>
          <w:tcPr>
            <w:tcW w:type="dxa" w:w="348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Component cost inflation</w:t>
            </w:r>
          </w:p>
        </w:tc>
        <w:tc>
          <w:tcPr>
            <w:tcW w:type="dxa" w:w="156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Medium</w:t>
            </w:r>
          </w:p>
        </w:tc>
        <w:tc>
          <w:tcPr>
            <w:tcW w:type="dxa" w:w="5040"/>
            <w:tcBorders>
              <w:top w:val="single" w:color="CCD6E0" w:sz="1"/>
              <w:left w:val="single" w:color="CCD6E0" w:sz="1"/>
              <w:bottom w:val="single" w:color="CCD6E0" w:sz="1"/>
              <w:right w:val="single" w:color="CCD6E0" w:sz="1"/>
            </w:tcBorders>
            <w:shd w:fill="FFFFFF"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Multi-source supply; hedging</w:t>
            </w:r>
          </w:p>
        </w:tc>
      </w:tr>
      <w:tr>
        <w:tc>
          <w:tcPr>
            <w:tcW w:type="dxa" w:w="348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left"/>
            </w:pPr>
            <w:r>
              <w:rPr>
                <w:rFonts w:ascii="Arial" w:cs="Arial" w:eastAsia="Arial" w:hAnsi="Arial"/>
                <w:b w:val="false"/>
                <w:bCs w:val="false"/>
                <w:color w:val="1A1A1A"/>
                <w:sz w:val="17"/>
                <w:szCs w:val="17"/>
              </w:rPr>
              <w:t xml:space="preserve">Competitive price pressure</w:t>
            </w:r>
          </w:p>
        </w:tc>
        <w:tc>
          <w:tcPr>
            <w:tcW w:type="dxa" w:w="156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Medium</w:t>
            </w:r>
          </w:p>
        </w:tc>
        <w:tc>
          <w:tcPr>
            <w:tcW w:type="dxa" w:w="5040"/>
            <w:tcBorders>
              <w:top w:val="single" w:color="CCD6E0" w:sz="1"/>
              <w:left w:val="single" w:color="CCD6E0" w:sz="1"/>
              <w:bottom w:val="single" w:color="CCD6E0" w:sz="1"/>
              <w:right w:val="single" w:color="CCD6E0" w:sz="1"/>
            </w:tcBorders>
            <w:shd w:fill="F4F7FA" w:val="clear"/>
            <w:tcMar>
              <w:top w:type="dxa" w:w="44"/>
              <w:left w:type="dxa" w:w="110"/>
              <w:bottom w:type="dxa" w:w="44"/>
              <w:right w:type="dxa" w:w="110"/>
            </w:tcMar>
            <w:vAlign w:val="center"/>
          </w:tcPr>
          <w:p>
            <w:pPr>
              <w:jc w:val="right"/>
            </w:pPr>
            <w:r>
              <w:rPr>
                <w:rFonts w:ascii="Arial" w:cs="Arial" w:eastAsia="Arial" w:hAnsi="Arial"/>
                <w:b w:val="false"/>
                <w:bCs w:val="false"/>
                <w:color w:val="1A1A1A"/>
                <w:sz w:val="17"/>
                <w:szCs w:val="17"/>
              </w:rPr>
              <w:t xml:space="preserve">Differentiate on health and ecosystem</w:t>
            </w:r>
          </w:p>
        </w:tc>
      </w:tr>
    </w:tbl>
    <w:p>
      <w:pPr>
        <w:spacing w:after="20" w:line="250"/>
      </w:pPr>
      <w:r>
        <w:rPr>
          <w:rFonts w:ascii="Arial" w:cs="Arial" w:eastAsia="Arial" w:hAnsi="Arial"/>
          <w:sz w:val="18"/>
          <w:szCs w:val="18"/>
        </w:rPr>
        <w:t xml:space="preserve"/>
      </w:r>
    </w:p>
    <w:p>
      <w:pPr>
        <w:spacing w:after="90" w:line="250"/>
      </w:pPr>
      <w:r>
        <w:rPr>
          <w:rFonts w:ascii="Arial" w:cs="Arial" w:eastAsia="Arial" w:hAnsi="Arial"/>
          <w:b/>
          <w:bCs/>
          <w:sz w:val="18"/>
          <w:szCs w:val="18"/>
        </w:rPr>
        <w:t xml:space="preserve">Sensitivity (NPV, $bn): </w:t>
      </w:r>
      <w:r>
        <w:rPr>
          <w:rFonts w:ascii="Arial" w:cs="Arial" w:eastAsia="Arial" w:hAnsi="Arial"/>
          <w:sz w:val="18"/>
          <w:szCs w:val="18"/>
        </w:rPr>
        <w:t xml:space="preserve">remains positive across the range tested — from ~$1.9bn (lower volume/ASP) to ~$4.3bn (higher volume/ASP) — indicating a robust risk-adjusted profile.</w:t>
      </w:r>
    </w:p>
    <w:p>
      <w:pPr>
        <w:pStyle w:val="Heading1"/>
      </w:pPr>
      <w:r>
        <w:t xml:space="preserve">7. Recommendation</w:t>
      </w:r>
    </w:p>
    <w:p>
      <w:pPr>
        <w:pBdr>
          <w:bottom w:val="single" w:color="C9A24B" w:sz="6" w:space="1"/>
        </w:pBdr>
        <w:spacing w:after="80"/>
      </w:pPr>
      <w:r>
        <w:t xml:space="preserve"/>
      </w:r>
    </w:p>
    <w:p>
      <w:pPr>
        <w:spacing w:after="90" w:line="250"/>
      </w:pPr>
      <w:r>
        <w:rPr>
          <w:rFonts w:ascii="Arial" w:cs="Arial" w:eastAsia="Arial" w:hAnsi="Arial"/>
          <w:sz w:val="18"/>
          <w:szCs w:val="18"/>
        </w:rPr>
        <w:t xml:space="preserve">Halstead Partners recommends Apple proceed with Project Aurora and release the initial $2.20bn of funding under a stage-gated structure, with the next tranche released on completion of design-freeze and certification milestones. The base case delivers an NPV of ~$3.0bn and an IRR near 44%, well above the 10% cost of capital, while strengthening Apple’s premium-segment and services position.</w:t>
      </w:r>
    </w:p>
    <w:p>
      <w:pPr>
        <w:pStyle w:val="Heading2"/>
      </w:pPr>
      <w:r>
        <w:t xml:space="preserve">Important Notice</w:t>
      </w:r>
    </w:p>
    <w:p>
      <w:pPr>
        <w:spacing w:after="0" w:line="250"/>
      </w:pPr>
      <w:r>
        <w:rPr>
          <w:rFonts w:ascii="Arial" w:cs="Arial" w:eastAsia="Arial" w:hAnsi="Arial"/>
          <w:color w:val="6B7280"/>
          <w:sz w:val="15"/>
          <w:szCs w:val="15"/>
        </w:rPr>
        <w:t xml:space="preserve">This is an illustrative, fictional sample for demonstration purposes only. “Halstead Partners,” “Project Aurora,” and all figures herein are invented and do not represent the actual data, forecasts, products, or plans of Apple Inc. or any other entity, and constitute neither advice nor a recommendation.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6E0" w:sz="4" w:space="5"/>
      </w:pBdr>
      <w:tabs>
        <w:tab w:val="right" w:pos="10080"/>
      </w:tabs>
    </w:pPr>
    <w:r>
      <w:rPr>
        <w:rFonts w:ascii="Arial" w:cs="Arial" w:eastAsia="Arial" w:hAnsi="Arial"/>
        <w:i/>
        <w:iCs/>
        <w:color w:val="6B7280"/>
        <w:sz w:val="13"/>
        <w:szCs w:val="13"/>
      </w:rPr>
      <w:t xml:space="preserve">Halstead Partners — illustrative sample, not financial advice</w:t>
    </w:r>
    <w:r>
      <w:rPr>
        <w:rFonts w:ascii="Arial" w:cs="Arial" w:eastAsia="Arial" w:hAnsi="Arial"/>
        <w:color w:val="6B7280"/>
        <w:sz w:val="14"/>
        <w:szCs w:val="14"/>
      </w:rPr>
      <w:t xml:space="preserve">	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C9A24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60"/>
      <w:outlineLvl w:val="0"/>
    </w:pPr>
    <w:rPr>
      <w:rFonts w:ascii="Arial" w:cs="Arial" w:eastAsia="Arial" w:hAnsi="Arial"/>
      <w:b/>
      <w:bCs/>
      <w:color w:val="1F3354"/>
      <w:sz w:val="23"/>
      <w:szCs w:val="23"/>
    </w:rPr>
  </w:style>
  <w:style w:type="paragraph" w:styleId="Heading2">
    <w:name w:val="Heading 2"/>
    <w:basedOn w:val="Normal"/>
    <w:next w:val="Normal"/>
    <w:qFormat/>
    <w:pPr>
      <w:spacing w:after="60" w:before="150"/>
      <w:outlineLvl w:val="1"/>
    </w:pPr>
    <w:rPr>
      <w:rFonts w:ascii="Arial" w:cs="Arial" w:eastAsia="Arial" w:hAnsi="Arial"/>
      <w:b/>
      <w:bCs/>
      <w:color w:val="2E5C8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Aurora — Financial Proposal (Illustrative)</dc:title>
  <dc:creator>Halstead Partners LLP</dc:creator>
  <cp:lastModifiedBy>Un-named</cp:lastModifiedBy>
  <cp:revision>1</cp:revision>
  <dcterms:created xsi:type="dcterms:W3CDTF">2026-06-12T08:18:18.597Z</dcterms:created>
  <dcterms:modified xsi:type="dcterms:W3CDTF">2026-06-12T08:18:18.610Z</dcterms:modified>
</cp:coreProperties>
</file>

<file path=docProps/custom.xml><?xml version="1.0" encoding="utf-8"?>
<Properties xmlns="http://schemas.openxmlformats.org/officeDocument/2006/custom-properties" xmlns:vt="http://schemas.openxmlformats.org/officeDocument/2006/docPropsVTypes"/>
</file>