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study-1-preregistration"/>
    <w:p>
      <w:pPr>
        <w:pStyle w:val="Heading1"/>
      </w:pPr>
      <w:r>
        <w:t xml:space="preserve">Study 1 Preregistration</w:t>
      </w:r>
    </w:p>
    <w:p>
      <w:pPr>
        <w:pStyle w:val="Subtitle"/>
      </w:pPr>
      <w:r>
        <w:rPr>
          <w:b/>
          <w:bCs/>
        </w:rPr>
        <w:t xml:space="preserve">Beyond the Original Sin: Lay Evaluations of Creative Contribution in AI-Assisted Artworks</w:t>
      </w:r>
    </w:p>
    <w:p>
      <w:pPr>
        <w:pStyle w:val="Author"/>
      </w:pPr>
      <w:r>
        <w:t xml:space="preserve">David G. Kamper, Alice Lin, Keith J. Holyoak (UCLA Department of Psychology)</w:t>
      </w:r>
    </w:p>
    <w:p>
      <w:pPr>
        <w:pBdr>
          <w:bottom w:val="single" w:sz="6" w:space="1" w:color="000000"/>
        </w:pBdr>
        <w:spacing w:before="0" w:after="240" w:line="240" w:lineRule="auto"/>
        <w:rPr>
          <w:sz w:val="8"/>
          <w:szCs w:val="8"/>
        </w:rPr>
      </w:pPr>
    </w:p>
    <w:bookmarkStart w:id="20" w:name="overview"/>
    <w:p>
      <w:pPr>
        <w:pStyle w:val="Heading2"/>
      </w:pPr>
      <w:r>
        <w:t xml:space="preserve">1. Overview</w:t>
      </w:r>
    </w:p>
    <w:p>
      <w:pPr>
        <w:pStyle w:val="FirstParagraph"/>
      </w:pPr>
      <w:r>
        <w:t xml:space="preserve">Study 1 asks whether telling someone that an artwork was made by an AI changes how they judge it, when the artwork itself is held constant.</w:t>
      </w:r>
    </w:p>
    <w:p>
      <w:pPr>
        <w:pStyle w:val="BodyText"/>
      </w:pPr>
      <w:r>
        <w:t xml:space="preserve">111 undergraduates each viewed the same ten digital artworks. Half were told the artist worked with ordinary design software; half were told he worked by prompting an AI system. Nothing else differed, including the images. Each participant rated every artwork on creativity and on effort, and wrote a short explanation for each rating.</w:t>
      </w:r>
    </w:p>
    <w:p>
      <w:pPr>
        <w:pStyle w:val="BodyText"/>
      </w:pPr>
      <w:r>
        <w:t xml:space="preserve">The study has one job in the larger paper: establish that source attribution alone moves lay judgment of original works. Studies 2 through 5 then ask whether human modification or invested effort can offset that. Those questions only arise if there is an effect to offset, and Study 1 is where that is settled.</w:t>
      </w:r>
    </w:p>
    <w:bookmarkEnd w:id="20"/>
    <w:bookmarkStart w:id="21" w:name="why-it-matters"/>
    <w:p>
      <w:pPr>
        <w:pStyle w:val="Heading2"/>
      </w:pPr>
      <w:r>
        <w:t xml:space="preserve">2. Why it matters</w:t>
      </w:r>
    </w:p>
    <w:p>
      <w:pPr>
        <w:pStyle w:val="FirstParagraph"/>
      </w:pPr>
      <w:r>
        <w:rPr>
          <w:b/>
          <w:bCs/>
        </w:rPr>
        <w:t xml:space="preserve">What the law requires.</w:t>
      </w:r>
      <w:r>
        <w:t xml:space="preserve"> </w:t>
      </w:r>
      <w:r>
        <w:t xml:space="preserve">United States copyright law requires a human author. The Copyright Office will not register material that an AI system generated without sufficient human control over its expression, and a court has held that a work with no human author at all falls outside the statute (</w:t>
      </w:r>
      <w:r>
        <w:rPr>
          <w:i/>
          <w:iCs/>
        </w:rPr>
        <w:t xml:space="preserve">Thaler v. Perlmutter</w:t>
      </w:r>
      <w:r>
        <w:t xml:space="preserve">, D.D.C. 2023, aff’d D.C. Cir. 2025; U.S. Copyright Office,</w:t>
      </w:r>
      <w:r>
        <w:t xml:space="preserve"> </w:t>
      </w:r>
      <w:r>
        <w:rPr>
          <w:i/>
          <w:iCs/>
        </w:rPr>
        <w:t xml:space="preserve">Copyright Registration Guidance: Works Containing Material Generated by Artificial Intelligence</w:t>
      </w:r>
      <w:r>
        <w:t xml:space="preserve">, 88 Fed. Reg. 16190 (Mar. 16, 2023); U.S. Copyright Office,</w:t>
      </w:r>
      <w:r>
        <w:t xml:space="preserve"> </w:t>
      </w:r>
      <w:r>
        <w:rPr>
          <w:i/>
          <w:iCs/>
        </w:rPr>
        <w:t xml:space="preserve">Copyright and Artificial Intelligence, Part 2: Copyrightability</w:t>
      </w:r>
      <w:r>
        <w:t xml:space="preserve">, 2025). The rule is narrower than it is usually described. It withholds protection from the machine-generated expression itself; a work that also contains human-authored expression (text a person wrote, a selection and arrangement a person chose, alterations a person made) is registrable for those human contributions, with the machine-generated material disclaimed, which is what the Office did in its registration decision on a graphic novel illustrated with Midjourney images (</w:t>
      </w:r>
      <w:r>
        <w:rPr>
          <w:i/>
          <w:iCs/>
        </w:rPr>
        <w:t xml:space="preserve">Zarya of the Dawn</w:t>
      </w:r>
      <w:r>
        <w:t xml:space="preserve">, U.S. Copyright Office, Feb. 21, 2023). Where the line falls between entering a prompt and making an authored contribution is the unsettled question, and it is the question Studies 2 through 5 put to lay judgment.</w:t>
      </w:r>
    </w:p>
    <w:p>
      <w:pPr>
        <w:pStyle w:val="BodyText"/>
      </w:pPr>
      <w:r>
        <w:t xml:space="preserve">The account here is of United States law. Other jurisdictions have gone different ways on machine-generated works, and that divergence is itself a reason to think the line is being drawn rather than found.</w:t>
      </w:r>
    </w:p>
    <w:p>
      <w:pPr>
        <w:pStyle w:val="BodyText"/>
      </w:pPr>
      <w:r>
        <w:rPr>
          <w:b/>
          <w:bCs/>
        </w:rPr>
        <w:t xml:space="preserve">Two standards, and which one the ratings speak to.</w:t>
      </w:r>
      <w:r>
        <w:t xml:space="preserve"> </w:t>
      </w:r>
      <w:r>
        <w:t xml:space="preserve">Two legal standards need separating, because the paper touches both and they are not the same.</w:t>
      </w:r>
      <w:r>
        <w:t xml:space="preserve"> </w:t>
      </w:r>
      <w:r>
        <w:rPr>
          <w:i/>
          <w:iCs/>
        </w:rPr>
        <w:t xml:space="preserve">Feist</w:t>
      </w:r>
      <w:r>
        <w:t xml:space="preserve"> </w:t>
      </w:r>
      <w:r>
        <w:t xml:space="preserve">asks whether a work is original: independently made rather than copied, and carrying at least a minimal degree of creativity. That is a question about the work (</w:t>
      </w:r>
      <w:r>
        <w:rPr>
          <w:i/>
          <w:iCs/>
        </w:rPr>
        <w:t xml:space="preserve">Feist Publications, Inc. v. Rural Telephone Service Co.</w:t>
      </w:r>
      <w:r>
        <w:t xml:space="preserve">, 499 U.S. 340, 345 (1991)). The rule governing machine-generated material asks something else: whether a human being supplied the creative expression and controlled it. A work can be striking and still unprotectable if no person authored the choices that made it so. Our ratings speak to the first question, and to how the ideas of creativity and effort behave in lay judgment. They do not measure human authorship, and we do not treat a creativity rating as though they did.</w:t>
      </w:r>
    </w:p>
    <w:p>
      <w:pPr>
        <w:pStyle w:val="BodyText"/>
      </w:pPr>
      <w:r>
        <w:rPr>
          <w:b/>
          <w:bCs/>
        </w:rPr>
        <w:t xml:space="preserve">The distinction inside the originality standard.</w:t>
      </w:r>
      <w:r>
        <w:t xml:space="preserve"> </w:t>
      </w:r>
      <w:r>
        <w:rPr>
          <w:i/>
          <w:iCs/>
        </w:rPr>
        <w:t xml:space="preserve">Feist</w:t>
      </w:r>
      <w:r>
        <w:t xml:space="preserve"> </w:t>
      </w:r>
      <w:r>
        <w:t xml:space="preserve">requires a minimal creative spark and explicitly rejects</w:t>
      </w:r>
      <w:r>
        <w:t xml:space="preserve"> </w:t>
      </w:r>
      <w:r>
        <w:t xml:space="preserve">“sweat of the brow,”</w:t>
      </w:r>
      <w:r>
        <w:t xml:space="preserve"> </w:t>
      </w:r>
      <w:r>
        <w:t xml:space="preserve">meaning sheer labour, as a ground of protection (499 U.S. at 352-54). Creativity is the criterion that counts; effort is the criterion that was set aside.</w:t>
      </w:r>
    </w:p>
    <w:p>
      <w:pPr>
        <w:pStyle w:val="BodyText"/>
      </w:pPr>
      <w:r>
        <w:t xml:space="preserve">That distinction makes the study’s second prediction the interesting one. If AI attribution damages perceived effort more than perceived creativity, then the label is doing its heaviest work on precisely the dimension doctrine declines to protect, and comparatively little on the dimension doctrine keeps. Two limits on how far that can be taken, and we state them in advance so the result is not written up past them.</w:t>
      </w:r>
      <w:r>
        <w:t xml:space="preserve"> </w:t>
      </w:r>
      <w:r>
        <w:rPr>
          <w:i/>
          <w:iCs/>
        </w:rPr>
        <w:t xml:space="preserve">Feist</w:t>
      </w:r>
      <w:r>
        <w:t xml:space="preserve">’s creativity requirement is a floor rather than a scale, and a famously low one, so a work rated less creative is not thereby nearer to being unprotectable. And a five-point rating measures how an idea behaves in lay judgment; it is not a measurement of a legal test.</w:t>
      </w:r>
    </w:p>
    <w:p>
      <w:pPr>
        <w:pStyle w:val="BodyText"/>
      </w:pPr>
      <w:r>
        <w:rPr>
          <w:b/>
          <w:bCs/>
        </w:rPr>
        <w:t xml:space="preserve">What lay judgment has to do with the law.</w:t>
      </w:r>
      <w:r>
        <w:t xml:space="preserve"> </w:t>
      </w:r>
      <w:r>
        <w:t xml:space="preserve">The human-authorship rule is defended on textual grounds: the constitutional clause speaks of Authors, and an author has long been read as the one to whom a work owes its origin (</w:t>
      </w:r>
      <w:r>
        <w:rPr>
          <w:i/>
          <w:iCs/>
        </w:rPr>
        <w:t xml:space="preserve">Burrow-Giles Lithographic Co. v. Sarony</w:t>
      </w:r>
      <w:r>
        <w:t xml:space="preserve">, 111 U.S. 53, 58 (1884)). It is not defended on any claim about how the public understands machine origin. So the relevance of lay judgment is our own claim and has to be argued, not attributed to the doctrine as a premise it adopted. The claim has three parts and no more. Originality is a question of fact, and in litigation it can go to a jury, so what ordinary people count as creative is one input to how the standard gets applied. The line between entering a prompt and making an authored contribution is not fixed by statute, and the arguments over where to draw it appeal to how creative contribution is ordinarily understood, an understanding that has not been examined for whether it survives a change of label. And where a legal standard and the intuitions of the people governed by it diverge, the divergence is worth documenting whichever of the two one ends up defending. Nothing here can show what the law ought to be, and we do not argue from what people think to what a court should hold; where we call a finding doctrinally relevant, we mean relevant in these three senses and no other.</w:t>
      </w:r>
    </w:p>
    <w:bookmarkEnd w:id="21"/>
    <w:bookmarkStart w:id="22" w:name="design-and-procedure"/>
    <w:p>
      <w:pPr>
        <w:pStyle w:val="Heading2"/>
      </w:pPr>
      <w:r>
        <w:t xml:space="preserve">3. Design and procedure</w:t>
      </w:r>
    </w:p>
    <w:p>
      <w:pPr>
        <w:pStyle w:val="FirstParagraph"/>
      </w:pPr>
      <w:r>
        <w:t xml:space="preserve">A two-condition between-subjects design with two within-subject rating dimensions.</w:t>
      </w:r>
    </w:p>
    <w:p>
      <w:pPr>
        <w:pStyle w:val="BodyText"/>
      </w:pPr>
      <w:r>
        <w:t xml:space="preserve">Every participant was introduced to an artist,</w:t>
      </w:r>
      <w:r>
        <w:t xml:space="preserve"> </w:t>
      </w:r>
      <w:r>
        <w:t xml:space="preserve">“Alex,”</w:t>
      </w:r>
      <w:r>
        <w:t xml:space="preserve"> </w:t>
      </w:r>
      <w:r>
        <w:t xml:space="preserve">through one of two vignettes. In the human condition Alex creates artworks using graphic design and digital sketching tools. In the AI condition Alex creates artworks by developing and entering prompts into an AI system. The vignettes are otherwise matched.</w:t>
      </w:r>
    </w:p>
    <w:p>
      <w:pPr>
        <w:pStyle w:val="BodyText"/>
      </w:pPr>
      <w:r>
        <w:t xml:space="preserve">All ten images were in fact generated by an AI system, as recorded in section 10. The human-attribution vignette is therefore a cover story, a description given to participants that is not true, and it is used because there is no way to hold the images constant while varying their attributed origin except by misdescribing one arm. Section 9 counts what participants in that arm wrote about machines. Neither of its counts measures whether they accepted the cover story.</w:t>
      </w:r>
    </w:p>
    <w:p>
      <w:pPr>
        <w:pStyle w:val="BodyText"/>
      </w:pPr>
      <w:r>
        <w:t xml:space="preserve">Participants then viewed ten original digital artworks, five figurative and five non-figurative, each displayed for a minimum of eight seconds. For every artwork they answered two questions on five-point scales:</w:t>
      </w:r>
    </w:p>
    <w:p>
      <w:pPr>
        <w:pStyle w:val="Compact"/>
        <w:numPr>
          <w:ilvl w:val="0"/>
          <w:numId w:val="1001"/>
        </w:numPr>
      </w:pPr>
      <w:r>
        <w:rPr>
          <w:b/>
          <w:bCs/>
        </w:rPr>
        <w:t xml:space="preserve">Creativity.</w:t>
      </w:r>
      <w:r>
        <w:t xml:space="preserve"> </w:t>
      </w:r>
      <w:r>
        <w:t xml:space="preserve">“How much creativity was involved in the production of this work?”</w:t>
      </w:r>
      <w:r>
        <w:t xml:space="preserve"> </w:t>
      </w:r>
      <w:r>
        <w:t xml:space="preserve">(1 = no creativity involved, 5 = a great deal of creativity involved)</w:t>
      </w:r>
    </w:p>
    <w:p>
      <w:pPr>
        <w:pStyle w:val="Compact"/>
        <w:numPr>
          <w:ilvl w:val="0"/>
          <w:numId w:val="1001"/>
        </w:numPr>
      </w:pPr>
      <w:r>
        <w:rPr>
          <w:b/>
          <w:bCs/>
        </w:rPr>
        <w:t xml:space="preserve">Effort.</w:t>
      </w:r>
      <w:r>
        <w:t xml:space="preserve"> </w:t>
      </w:r>
      <w:r>
        <w:t xml:space="preserve">“How much effort was involved in the production of this work?”</w:t>
      </w:r>
      <w:r>
        <w:t xml:space="preserve"> </w:t>
      </w:r>
      <w:r>
        <w:t xml:space="preserve">(1 = no effort involved, 5 = a great deal of effort involved)</w:t>
      </w:r>
    </w:p>
    <w:p>
      <w:pPr>
        <w:pStyle w:val="FirstParagraph"/>
      </w:pPr>
      <w:r>
        <w:t xml:space="preserve">After each rating they wrote a brief explanation of it. Demographics followed.</w:t>
      </w:r>
    </w:p>
    <w:p>
      <w:pPr>
        <w:pStyle w:val="BodyText"/>
      </w:pPr>
      <w:r>
        <w:t xml:space="preserve">This yields 20 ratings and 20 written explanations per participant.</w:t>
      </w:r>
    </w:p>
    <w:p>
      <w:pPr>
        <w:pStyle w:val="BodyText"/>
      </w:pPr>
      <w:r>
        <w:t xml:space="preserve">Because every participant saw all ten artworks, participants and images are fully crossed. This is what allows the analysis to distinguish</w:t>
      </w:r>
      <w:r>
        <w:t xml:space="preserve"> </w:t>
      </w:r>
      <w:r>
        <w:t xml:space="preserve">“this image is unusual”</w:t>
      </w:r>
      <w:r>
        <w:t xml:space="preserve"> </w:t>
      </w:r>
      <w:r>
        <w:t xml:space="preserve">from</w:t>
      </w:r>
      <w:r>
        <w:t xml:space="preserve"> </w:t>
      </w:r>
      <w:r>
        <w:t xml:space="preserve">“this person is unusual,”</w:t>
      </w:r>
      <w:r>
        <w:t xml:space="preserve"> </w:t>
      </w:r>
      <w:r>
        <w:t xml:space="preserve">and it is essential to the fourth prediction below.</w:t>
      </w:r>
    </w:p>
    <w:p>
      <w:pPr>
        <w:pStyle w:val="BodyText"/>
      </w:pPr>
      <w:r>
        <w:t xml:space="preserve">Two limitations of the instrument should be recorded. The order in which participants encountered the images was not stored, so order effects cannot be examined. The two rating questions always appeared in the same sequence within an image. There is no manipulation check confirming that participants encoded the attribution.</w:t>
      </w:r>
    </w:p>
    <w:bookmarkEnd w:id="22"/>
    <w:bookmarkStart w:id="23" w:name="sample-and-exclusions"/>
    <w:p>
      <w:pPr>
        <w:pStyle w:val="Heading2"/>
      </w:pPr>
      <w:r>
        <w:t xml:space="preserve">4. Sample and exclusions</w:t>
      </w:r>
    </w:p>
    <w:p>
      <w:pPr>
        <w:pStyle w:val="FirstParagraph"/>
      </w:pPr>
      <w:r>
        <w:t xml:space="preserve">Participants were UCLA psychology subject-pool students receiving course credit. Demographic composition is reported with the results rather than here.</w:t>
      </w:r>
    </w:p>
    <w:p>
      <w:pPr>
        <w:pStyle w:val="BodyText"/>
        <w:keepNext/>
      </w:pPr>
      <w:r>
        <w:t xml:space="preserve">Exclusions were applied in this order:</w:t>
      </w:r>
    </w:p>
    <w:tbl>
      <w:tblPr>
        <w:tblStyle w:val="Tabl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3" w:type="dxa"/>
          <w:left w:w="100" w:type="dxa"/>
          <w:bottom w:w="43" w:type="dxa"/>
          <w:right w:w="100" w:type="dxa"/>
        </w:tblCellMar>
        <w:tblLook w:firstRow="1" w:lastRow="0" w:firstColumn="0" w:lastColumn="0" w:noHBand="0" w:noVBand="0" w:val="0020"/>
      </w:tblPr>
      <w:tblGrid>
        <w:gridCol w:w="7488"/>
        <w:gridCol w:w="1872"/>
      </w:tblGrid>
      <w:tr>
        <w:trPr>
          <w:cantSplit/>
          <w:tblHeader w:val="on"/>
        </w:trPr>
        <w:tc>
          <w:tcPr>
            <w:tcW w:w="7488" w:type="dxa"/>
            <w:shd w:val="clear" w:color="auto" w:fill="E7E6E6"/>
            <w:vAlign w:val="bottom"/>
          </w:tcPr>
          <w:p>
            <w:pPr>
              <w:pStyle w:val="TableHeading"/>
              <w:keepNext/>
            </w:pPr>
            <w:r>
              <w:t xml:space="preserve">Step</w:t>
            </w:r>
          </w:p>
        </w:tc>
        <w:tc>
          <w:tcPr>
            <w:tcW w:w="1872" w:type="dxa"/>
            <w:shd w:val="clear" w:color="auto" w:fill="E7E6E6"/>
            <w:vAlign w:val="bottom"/>
          </w:tcPr>
          <w:p>
            <w:pPr>
              <w:pStyle w:val="TableHeading"/>
              <w:keepNext/>
            </w:pPr>
            <w:r>
              <w:t xml:space="preserve">Remaining</w:t>
            </w:r>
          </w:p>
        </w:tc>
      </w:tr>
      <w:tr>
        <w:trPr>
          <w:cantSplit/>
        </w:trPr>
        <w:tc>
          <w:tcPr>
            <w:tcW w:w="7488" w:type="dxa"/>
          </w:tcPr>
          <w:p>
            <w:pPr>
              <w:pStyle w:val="TableText"/>
              <w:keepNext/>
            </w:pPr>
            <w:r>
              <w:t xml:space="preserve">Records in the export</w:t>
            </w:r>
          </w:p>
        </w:tc>
        <w:tc>
          <w:tcPr>
            <w:tcW w:w="1872" w:type="dxa"/>
          </w:tcPr>
          <w:p>
            <w:pPr>
              <w:pStyle w:val="TableText"/>
              <w:keepNext/>
            </w:pPr>
            <w:r>
              <w:t xml:space="preserve">119</w:t>
            </w:r>
          </w:p>
        </w:tc>
      </w:tr>
      <w:tr>
        <w:trPr>
          <w:cantSplit/>
        </w:trPr>
        <w:tc>
          <w:tcPr>
            <w:tcW w:w="7488" w:type="dxa"/>
          </w:tcPr>
          <w:p>
            <w:pPr>
              <w:pStyle w:val="TableText"/>
              <w:keepNext/>
            </w:pPr>
            <w:r>
              <w:t xml:space="preserve">Remove Qualtrics preview records (not real participants)</w:t>
            </w:r>
          </w:p>
        </w:tc>
        <w:tc>
          <w:tcPr>
            <w:tcW w:w="1872" w:type="dxa"/>
          </w:tcPr>
          <w:p>
            <w:pPr>
              <w:pStyle w:val="TableText"/>
              <w:keepNext/>
            </w:pPr>
            <w:r>
              <w:t xml:space="preserve">117</w:t>
            </w:r>
          </w:p>
        </w:tc>
      </w:tr>
      <w:tr>
        <w:trPr>
          <w:cantSplit/>
        </w:trPr>
        <w:tc>
          <w:tcPr>
            <w:tcW w:w="7488" w:type="dxa"/>
          </w:tcPr>
          <w:p>
            <w:pPr>
              <w:pStyle w:val="TableText"/>
              <w:keepNext/>
            </w:pPr>
            <w:r>
              <w:t xml:space="preserve">Remove those who did not complete the study</w:t>
            </w:r>
          </w:p>
        </w:tc>
        <w:tc>
          <w:tcPr>
            <w:tcW w:w="1872" w:type="dxa"/>
          </w:tcPr>
          <w:p>
            <w:pPr>
              <w:pStyle w:val="TableText"/>
              <w:keepNext/>
            </w:pPr>
            <w:r>
              <w:t xml:space="preserve">114</w:t>
            </w:r>
          </w:p>
        </w:tc>
      </w:tr>
      <w:tr>
        <w:trPr>
          <w:cantSplit/>
        </w:trPr>
        <w:tc>
          <w:tcPr>
            <w:tcW w:w="7488" w:type="dxa"/>
          </w:tcPr>
          <w:p>
            <w:pPr>
              <w:pStyle w:val="TableText"/>
              <w:keepNext/>
            </w:pPr>
            <w:r>
              <w:t xml:space="preserve">Remove those who reported not taking it seriously</w:t>
            </w:r>
          </w:p>
        </w:tc>
        <w:tc>
          <w:tcPr>
            <w:tcW w:w="1872" w:type="dxa"/>
          </w:tcPr>
          <w:p>
            <w:pPr>
              <w:pStyle w:val="TableText"/>
              <w:keepNext/>
            </w:pPr>
            <w:r>
              <w:t xml:space="preserve">111</w:t>
            </w:r>
          </w:p>
        </w:tc>
      </w:tr>
      <w:tr>
        <w:trPr>
          <w:cantSplit/>
        </w:trPr>
        <w:tc>
          <w:tcPr>
            <w:tcW w:w="7488" w:type="dxa"/>
          </w:tcPr>
          <w:p>
            <w:pPr>
              <w:pStyle w:val="TableText"/>
            </w:pPr>
            <w:r>
              <w:t xml:space="preserve">Attention check</w:t>
            </w:r>
          </w:p>
        </w:tc>
        <w:tc>
          <w:tcPr>
            <w:tcW w:w="1872" w:type="dxa"/>
          </w:tcPr>
          <w:p>
            <w:pPr>
              <w:pStyle w:val="TableText"/>
            </w:pPr>
            <w:r>
              <w:t xml:space="preserve">111</w:t>
            </w:r>
          </w:p>
        </w:tc>
      </w:tr>
    </w:tbl>
    <w:p>
      <w:pPr>
        <w:pStyle w:val="BodyText"/>
        <w:spacing w:before="200"/>
      </w:pPr>
      <w:r>
        <w:t xml:space="preserve">The seriousness step uses a self-report item asking participants whether they took part seriously and answered honestly. Participants who selected</w:t>
      </w:r>
      <w:r>
        <w:t xml:space="preserve"> </w:t>
      </w:r>
      <w:r>
        <w:t xml:space="preserve">“Yes, I did”</w:t>
      </w:r>
      <w:r>
        <w:t xml:space="preserve"> </w:t>
      </w:r>
      <w:r>
        <w:t xml:space="preserve">are retained; every other answer, and a missing answer, is treated as failing the item. Treating a missing answer as a failure is the conservative direction, because a missing answer on that item generally accompanies an unfinished response. The verbatim item and its response options are deposited with the instrument.</w:t>
      </w:r>
    </w:p>
    <w:p>
      <w:pPr>
        <w:pStyle w:val="BodyText"/>
      </w:pPr>
      <w:r>
        <w:t xml:space="preserve">The final analytic sample is</w:t>
      </w:r>
      <w:r>
        <w:t xml:space="preserve"> </w:t>
      </w:r>
      <w:r>
        <w:rPr>
          <w:b/>
          <w:bCs/>
        </w:rPr>
        <w:t xml:space="preserve">111 participants: 56 human condition, 55 AI condition</w:t>
      </w:r>
      <w:r>
        <w:t xml:space="preserve">, contributing 2,220 ratings, with no missing ratings among the retained participants.</w:t>
      </w:r>
    </w:p>
    <w:p>
      <w:pPr>
        <w:pStyle w:val="BodyText"/>
      </w:pPr>
      <w:r>
        <w:t xml:space="preserve">Generalisation beyond a single university subject pool requires replication, and we will say so.</w:t>
      </w:r>
    </w:p>
    <w:bookmarkEnd w:id="23"/>
    <w:bookmarkStart w:id="24" w:name="what-we-predict"/>
    <w:p>
      <w:pPr>
        <w:pStyle w:val="Heading2"/>
      </w:pPr>
      <w:r>
        <w:t xml:space="preserve">5. What we predict</w:t>
      </w:r>
    </w:p>
    <w:p>
      <w:pPr>
        <w:pStyle w:val="FirstParagraph"/>
      </w:pPr>
      <w:r>
        <w:rPr>
          <w:b/>
          <w:bCs/>
        </w:rPr>
        <w:t xml:space="preserve">H1. Attributing the work to an AI lowers ratings.</w:t>
      </w:r>
      <w:r>
        <w:t xml:space="preserve"> </w:t>
      </w:r>
      <w:r>
        <w:t xml:space="preserve">Participants in the AI condition will rate the same artworks lower on both creativity and effort than participants in the human condition. This is a conjunction: it asks for the effect on both dimensions, not on either one.</w:t>
      </w:r>
    </w:p>
    <w:p>
      <w:pPr>
        <w:pStyle w:val="BodyText"/>
      </w:pPr>
      <w:r>
        <w:rPr>
          <w:b/>
          <w:bCs/>
        </w:rPr>
        <w:t xml:space="preserve">H2. The penalty is larger for effort than for creativity.</w:t>
      </w:r>
      <w:r>
        <w:t xml:space="preserve"> </w:t>
      </w:r>
      <w:r>
        <w:t xml:space="preserve">The reduction under AI attribution will be greater on the effort dimension than on the creativity dimension. This is the doctrinally loaded prediction described in section 2.</w:t>
      </w:r>
    </w:p>
    <w:p>
      <w:pPr>
        <w:pStyle w:val="BodyText"/>
      </w:pPr>
      <w:r>
        <w:rPr>
          <w:b/>
          <w:bCs/>
        </w:rPr>
        <w:t xml:space="preserve">H3. The penalty does not depend on the kind of image.</w:t>
      </w:r>
      <w:r>
        <w:t xml:space="preserve"> </w:t>
      </w:r>
      <w:r>
        <w:t xml:space="preserve">The size of the AI penalty will not differ between figurative and non-figurative artworks. This is a prediction of no effect, and is tested as such.</w:t>
      </w:r>
    </w:p>
    <w:p>
      <w:pPr>
        <w:pStyle w:val="BodyText"/>
      </w:pPr>
      <w:r>
        <w:rPr>
          <w:b/>
          <w:bCs/>
        </w:rPr>
        <w:t xml:space="preserve">H4. AI attribution changes what a rating is a property of.</w:t>
      </w:r>
      <w:r>
        <w:t xml:space="preserve"> </w:t>
      </w:r>
      <w:r>
        <w:t xml:space="preserve">Under human attribution, a rating should mostly reflect the particular artwork being judged. Under AI attribution, a rating should mostly reflect the particular person judging: the same discount applied across images. Concretely, we predict that the variance between participants increases and the variance within a participant from image to image decreases under AI attribution. The claim is about absolute variances, not about their proportions of the total: proportions are compositional, so one component shrinking raises the others arithmetically, and a shift in proportions is not by itself evidence of the structural change H4 asserts.</w:t>
      </w:r>
    </w:p>
    <w:p>
      <w:pPr>
        <w:pStyle w:val="BodyText"/>
      </w:pPr>
      <w:r>
        <w:t xml:space="preserve">H4 is a claim about the</w:t>
      </w:r>
      <w:r>
        <w:t xml:space="preserve"> </w:t>
      </w:r>
      <w:r>
        <w:rPr>
          <w:i/>
          <w:iCs/>
        </w:rPr>
        <w:t xml:space="preserve">structure</w:t>
      </w:r>
      <w:r>
        <w:t xml:space="preserve"> </w:t>
      </w:r>
      <w:r>
        <w:t xml:space="preserve">of judgment rather than its level, and it distinguishes two accounts of the effect: a case-by-case appraisal that happens to come out lower, versus a categorical response applied to whatever is shown.</w:t>
      </w:r>
    </w:p>
    <w:bookmarkEnd w:id="24"/>
    <w:bookmarkStart w:id="25" w:name="how-we-test-it"/>
    <w:p>
      <w:pPr>
        <w:pStyle w:val="Heading2"/>
      </w:pPr>
      <w:r>
        <w:t xml:space="preserve">6. How we test it</w:t>
      </w:r>
    </w:p>
    <w:p>
      <w:pPr>
        <w:pStyle w:val="FirstParagraph"/>
      </w:pPr>
      <w:r>
        <w:t xml:space="preserve">The formulas below are printed with readable names. In the deposited code the attribution condition is</w:t>
      </w:r>
      <w:r>
        <w:t xml:space="preserve"> </w:t>
      </w:r>
      <w:r>
        <w:rPr>
          <w:rStyle w:val="VerbatimChar"/>
        </w:rPr>
        <w:t xml:space="preserve">Type</w:t>
      </w:r>
      <w:r>
        <w:t xml:space="preserve">, the image factor is</w:t>
      </w:r>
      <w:r>
        <w:t xml:space="preserve"> </w:t>
      </w:r>
      <w:r>
        <w:rPr>
          <w:rStyle w:val="VerbatimChar"/>
        </w:rPr>
        <w:t xml:space="preserve">stimulus_type</w:t>
      </w:r>
      <w:r>
        <w:t xml:space="preserve">, the participant identifier is</w:t>
      </w:r>
      <w:r>
        <w:t xml:space="preserve"> </w:t>
      </w:r>
      <w:r>
        <w:rPr>
          <w:rStyle w:val="VerbatimChar"/>
        </w:rPr>
        <w:t xml:space="preserve">id</w:t>
      </w:r>
      <w:r>
        <w:t xml:space="preserve"> </w:t>
      </w:r>
      <w:r>
        <w:t xml:space="preserve">and the image identifier is</w:t>
      </w:r>
      <w:r>
        <w:t xml:space="preserve"> </w:t>
      </w:r>
      <w:r>
        <w:rPr>
          <w:rStyle w:val="VerbatimChar"/>
        </w:rPr>
        <w:t xml:space="preserve">stimulus_id</w:t>
      </w:r>
      <w:r>
        <w:t xml:space="preserve">; nothing else differs, and the formulas are otherwise printed in the syntax that is run.</w:t>
      </w:r>
    </w:p>
    <w:p>
      <w:pPr>
        <w:pStyle w:val="BodyText"/>
      </w:pPr>
      <w:r>
        <w:rPr>
          <w:b/>
          <w:bCs/>
        </w:rPr>
        <w:t xml:space="preserve">Primary model.</w:t>
      </w:r>
      <w:r>
        <w:t xml:space="preserve"> </w:t>
      </w:r>
      <w:r>
        <w:t xml:space="preserve">For each dimension separately:</w:t>
      </w:r>
    </w:p>
    <w:p>
      <w:pPr>
        <w:pStyle w:val="SourceCode"/>
      </w:pPr>
      <w:r>
        <w:rPr>
          <w:rStyle w:val="VerbatimChar"/>
        </w:rPr>
        <w:t xml:space="preserve">rating ~ attribution * image_kind + (1 | participant) + (1 | image)</w:t>
      </w:r>
    </w:p>
    <w:p>
      <w:pPr>
        <w:pStyle w:val="FirstParagraph"/>
      </w:pPr>
      <w:r>
        <w:t xml:space="preserve">fitted by restricted maximum likelihood, which estimates the variance components without letting the fixed effects absorb them, with Satterthwaite degrees of freedom, an approximation that allows for the fact that those variance components are estimated rather than known.</w:t>
      </w:r>
      <w:r>
        <w:t xml:space="preserve"> </w:t>
      </w:r>
      <w:r>
        <w:rPr>
          <w:rStyle w:val="VerbatimChar"/>
        </w:rPr>
        <w:t xml:space="preserve">attribution</w:t>
      </w:r>
      <w:r>
        <w:t xml:space="preserve"> </w:t>
      </w:r>
      <w:r>
        <w:t xml:space="preserve">is the condition, human or AI;</w:t>
      </w:r>
      <w:r>
        <w:t xml:space="preserve"> </w:t>
      </w:r>
      <w:r>
        <w:rPr>
          <w:rStyle w:val="VerbatimChar"/>
        </w:rPr>
        <w:t xml:space="preserve">image_kind</w:t>
      </w:r>
      <w:r>
        <w:t xml:space="preserve"> </w:t>
      </w:r>
      <w:r>
        <w:t xml:space="preserve">is figurative or non-figurative. The two random intercepts absorb stable differences between participants and between images so that neither is mistaken for the effect of interest.</w:t>
      </w:r>
    </w:p>
    <w:p>
      <w:pPr>
        <w:pStyle w:val="BodyText"/>
      </w:pPr>
      <w:r>
        <w:t xml:space="preserve">H1 is the</w:t>
      </w:r>
      <w:r>
        <w:t xml:space="preserve"> </w:t>
      </w:r>
      <w:r>
        <w:rPr>
          <w:rStyle w:val="VerbatimChar"/>
        </w:rPr>
        <w:t xml:space="preserve">attribution</w:t>
      </w:r>
      <w:r>
        <w:t xml:space="preserve"> </w:t>
      </w:r>
      <w:r>
        <w:t xml:space="preserve">term, tested separately on each dimension. The quantity we report is the estimated marginal contrast, human minus AI, averaged over image kind. It is not the raw coefficient, which under treatment coding is the effect at non-figurative images only. The contrast is computed by emmeans, the R package for estimated marginal means, with that package’s default Kenward-Roger degrees of freedom, a second approximation of the same kind. Because it is a between-participant contrast, the Kenward-Roger and Satterthwaite degrees of freedom agree here, at 109.</w:t>
      </w:r>
    </w:p>
    <w:p>
      <w:pPr>
        <w:pStyle w:val="BodyText"/>
      </w:pPr>
      <w:r>
        <w:rPr>
          <w:b/>
          <w:bCs/>
        </w:rPr>
        <w:t xml:space="preserve">The maximal structure, and where it governs.</w:t>
      </w:r>
      <w:r>
        <w:t xml:space="preserve"> </w:t>
      </w:r>
      <w:r>
        <w:t xml:space="preserve">Both random slopes that this design can estimate are also fitted:</w:t>
      </w:r>
    </w:p>
    <w:p>
      <w:pPr>
        <w:pStyle w:val="SourceCode"/>
      </w:pPr>
      <w:r>
        <w:rPr>
          <w:rStyle w:val="VerbatimChar"/>
        </w:rPr>
        <w:t xml:space="preserve">rating ~ attribution * image_kind</w:t>
      </w:r>
      <w:r>
        <w:br/>
      </w:r>
      <w:r>
        <w:rPr>
          <w:rStyle w:val="VerbatimChar"/>
        </w:rPr>
        <w:t xml:space="preserve">         + (1 + image_kind | participant)</w:t>
      </w:r>
      <w:r>
        <w:br/>
      </w:r>
      <w:r>
        <w:rPr>
          <w:rStyle w:val="VerbatimChar"/>
        </w:rPr>
        <w:t xml:space="preserve">         + (1 + attribution | image)</w:t>
      </w:r>
    </w:p>
    <w:p>
      <w:pPr>
        <w:pStyle w:val="FirstParagraph"/>
      </w:pPr>
      <w:r>
        <w:t xml:space="preserve">Image kind varies within participant, so the by-participant slope is warranted; attribution varies between participants but within image, so the by-image slope is warranted. This structure is reported as the registered robustness alternative for H1. H2 has its own second version, the ordinal model described below, and does not use this one. For H3 it does more than that, and the reason is asymmetric. A random-effects structure that omits warranted slopes understates the standard error on the interaction. For an ordinary significance test that is anticonservative and runs against us. For an equivalence test, which asks whether an estimate sits inside a bound, a too-narrow interval makes the null prediction</w:t>
      </w:r>
      <w:r>
        <w:t xml:space="preserve"> </w:t>
      </w:r>
      <w:r>
        <w:rPr>
          <w:i/>
          <w:iCs/>
        </w:rPr>
        <w:t xml:space="preserve">easier</w:t>
      </w:r>
      <w:r>
        <w:t xml:space="preserve"> </w:t>
      </w:r>
      <w:r>
        <w:t xml:space="preserve">to confirm. We therefore register that H3 is claimed only if the equivalence conclusion holds under the maximal structure as well as the intercepts-only one, and that a disagreement between them is reported as inconclusive.</w:t>
      </w:r>
    </w:p>
    <w:p>
      <w:pPr>
        <w:pStyle w:val="BodyText"/>
      </w:pPr>
      <w:r>
        <w:t xml:space="preserve">If the maximal fit is singular, the fallback is the intercepts-only structure, the output records which structure was used, and the H3 result is reported as resting on the reduced structure alone. A fit is singular when the optimiser drives one of the estimated variances or correlations to the edge of its range, which signals the data cannot support that many parameters. Singularity is treated as a property of the data, not as an optimiser setting to be worked around.</w:t>
      </w:r>
    </w:p>
    <w:p>
      <w:pPr>
        <w:pStyle w:val="BodyText"/>
      </w:pPr>
      <w:r>
        <w:rPr>
          <w:b/>
          <w:bCs/>
        </w:rPr>
        <w:t xml:space="preserve">H3 and the equivalence bound.</w:t>
      </w:r>
      <w:r>
        <w:t xml:space="preserve"> </w:t>
      </w:r>
      <w:r>
        <w:t xml:space="preserve">H3 is the</w:t>
      </w:r>
      <w:r>
        <w:t xml:space="preserve"> </w:t>
      </w:r>
      <w:r>
        <w:rPr>
          <w:rStyle w:val="VerbatimChar"/>
        </w:rPr>
        <w:t xml:space="preserve">attribution × image_kind</w:t>
      </w:r>
      <w:r>
        <w:t xml:space="preserve"> </w:t>
      </w:r>
      <w:r>
        <w:t xml:space="preserve">term. Because this is a null prediction, a non-significant interaction is not by itself evidence: absence of a detectable effect is not evidence of absence. We therefore also run an equivalence test, meaning two one-sided tests in which the estimate is tested against each end of a stated bound separately and equivalence is concluded only if both ends are rejected, each at .05.</w:t>
      </w:r>
    </w:p>
    <w:p>
      <w:pPr>
        <w:pStyle w:val="BodyText"/>
      </w:pPr>
      <w:r>
        <w:t xml:space="preserve">The bound is</w:t>
      </w:r>
      <w:r>
        <w:t xml:space="preserve"> </w:t>
      </w:r>
      <w:r>
        <w:rPr>
          <w:b/>
          <w:bCs/>
        </w:rPr>
        <w:t xml:space="preserve">±0.20 rating points</w:t>
      </w:r>
      <w:r>
        <w:t xml:space="preserve">, one fifth of a point on a five-point scale, and it is registered here as a number rather than left to judgment. The rationale is that a difference between the figurative and non-figurative penalties smaller than a fifth of a scale point could not support the claim that the penalty depends on the kind of image, because it is finer than the resolution at which participants use a five-point scale. Bounds of 0.30 and 0.50 rating points are additionally reported as descriptive sensitivity and carry no verdict.</w:t>
      </w:r>
    </w:p>
    <w:p>
      <w:pPr>
        <w:pStyle w:val="BodyText"/>
        <w:keepNext/>
      </w:pPr>
      <w:r>
        <w:t xml:space="preserve">The two tests are read jointly, and the four possible outcomes are decided in advance:</w:t>
      </w:r>
    </w:p>
    <w:tbl>
      <w:tblPr>
        <w:tblStyle w:val="Tabl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3" w:type="dxa"/>
          <w:left w:w="100" w:type="dxa"/>
          <w:bottom w:w="43" w:type="dxa"/>
          <w:right w:w="100" w:type="dxa"/>
        </w:tblCellMar>
        <w:tblLook w:firstRow="1" w:lastRow="0" w:firstColumn="0" w:lastColumn="0" w:noHBand="0" w:noVBand="0" w:val="0020"/>
      </w:tblPr>
      <w:tblGrid>
        <w:gridCol w:w="2808"/>
        <w:gridCol w:w="2527"/>
        <w:gridCol w:w="4025"/>
      </w:tblGrid>
      <w:tr>
        <w:trPr>
          <w:cantSplit/>
          <w:tblHeader w:val="on"/>
        </w:trPr>
        <w:tc>
          <w:tcPr>
            <w:tcW w:w="2808" w:type="dxa"/>
            <w:shd w:val="clear" w:color="auto" w:fill="E7E6E6"/>
            <w:vAlign w:val="bottom"/>
          </w:tcPr>
          <w:p>
            <w:pPr>
              <w:pStyle w:val="TableHeading"/>
              <w:keepNext/>
            </w:pPr>
            <w:r>
              <w:t xml:space="preserve">Interaction significance test</w:t>
            </w:r>
          </w:p>
        </w:tc>
        <w:tc>
          <w:tcPr>
            <w:tcW w:w="2527" w:type="dxa"/>
            <w:shd w:val="clear" w:color="auto" w:fill="E7E6E6"/>
            <w:vAlign w:val="bottom"/>
          </w:tcPr>
          <w:p>
            <w:pPr>
              <w:pStyle w:val="TableHeading"/>
              <w:keepNext/>
            </w:pPr>
            <w:r>
              <w:t xml:space="preserve">Equivalence test at ±0.20</w:t>
            </w:r>
          </w:p>
        </w:tc>
        <w:tc>
          <w:tcPr>
            <w:tcW w:w="4025" w:type="dxa"/>
            <w:shd w:val="clear" w:color="auto" w:fill="E7E6E6"/>
            <w:vAlign w:val="bottom"/>
          </w:tcPr>
          <w:p>
            <w:pPr>
              <w:pStyle w:val="TableHeading"/>
              <w:keepNext/>
            </w:pPr>
            <w:r>
              <w:t xml:space="preserve">Verdict for H3</w:t>
            </w:r>
          </w:p>
        </w:tc>
      </w:tr>
      <w:tr>
        <w:trPr>
          <w:cantSplit/>
        </w:trPr>
        <w:tc>
          <w:tcPr>
            <w:tcW w:w="2808" w:type="dxa"/>
          </w:tcPr>
          <w:p>
            <w:pPr>
              <w:pStyle w:val="TableText"/>
              <w:keepNext/>
            </w:pPr>
            <w:r>
              <w:t xml:space="preserve">not significant</w:t>
            </w:r>
          </w:p>
        </w:tc>
        <w:tc>
          <w:tcPr>
            <w:tcW w:w="2527" w:type="dxa"/>
          </w:tcPr>
          <w:p>
            <w:pPr>
              <w:pStyle w:val="TableText"/>
              <w:keepNext/>
            </w:pPr>
            <w:r>
              <w:t xml:space="preserve">equivalent</w:t>
            </w:r>
          </w:p>
        </w:tc>
        <w:tc>
          <w:tcPr>
            <w:tcW w:w="4025" w:type="dxa"/>
          </w:tcPr>
          <w:p>
            <w:pPr>
              <w:pStyle w:val="TableText"/>
              <w:keepNext/>
            </w:pPr>
            <w:r>
              <w:t xml:space="preserve">supported</w:t>
            </w:r>
          </w:p>
        </w:tc>
      </w:tr>
      <w:tr>
        <w:trPr>
          <w:cantSplit/>
        </w:trPr>
        <w:tc>
          <w:tcPr>
            <w:tcW w:w="2808" w:type="dxa"/>
          </w:tcPr>
          <w:p>
            <w:pPr>
              <w:pStyle w:val="TableText"/>
              <w:keepNext/>
            </w:pPr>
            <w:r>
              <w:t xml:space="preserve">not significant</w:t>
            </w:r>
          </w:p>
        </w:tc>
        <w:tc>
          <w:tcPr>
            <w:tcW w:w="2527" w:type="dxa"/>
          </w:tcPr>
          <w:p>
            <w:pPr>
              <w:pStyle w:val="TableText"/>
              <w:keepNext/>
            </w:pPr>
            <w:r>
              <w:t xml:space="preserve">not equivalent</w:t>
            </w:r>
          </w:p>
        </w:tc>
        <w:tc>
          <w:tcPr>
            <w:tcW w:w="4025" w:type="dxa"/>
          </w:tcPr>
          <w:p>
            <w:pPr>
              <w:pStyle w:val="TableText"/>
              <w:keepNext/>
            </w:pPr>
            <w:r>
              <w:t xml:space="preserve">inconclusive: the design cannot separate no effect from a small one</w:t>
            </w:r>
          </w:p>
        </w:tc>
      </w:tr>
      <w:tr>
        <w:trPr>
          <w:cantSplit/>
        </w:trPr>
        <w:tc>
          <w:tcPr>
            <w:tcW w:w="2808" w:type="dxa"/>
          </w:tcPr>
          <w:p>
            <w:pPr>
              <w:pStyle w:val="TableText"/>
              <w:keepNext/>
            </w:pPr>
            <w:r>
              <w:t xml:space="preserve">significant</w:t>
            </w:r>
          </w:p>
        </w:tc>
        <w:tc>
          <w:tcPr>
            <w:tcW w:w="2527" w:type="dxa"/>
          </w:tcPr>
          <w:p>
            <w:pPr>
              <w:pStyle w:val="TableText"/>
              <w:keepNext/>
            </w:pPr>
            <w:r>
              <w:t xml:space="preserve">equivalent</w:t>
            </w:r>
          </w:p>
        </w:tc>
        <w:tc>
          <w:tcPr>
            <w:tcW w:w="4025" w:type="dxa"/>
          </w:tcPr>
          <w:p>
            <w:pPr>
              <w:pStyle w:val="TableText"/>
              <w:keepNext/>
            </w:pPr>
            <w:r>
              <w:t xml:space="preserve">inconclusive: the difference is detectable but too small to bear the claim, and is described that way</w:t>
            </w:r>
          </w:p>
        </w:tc>
      </w:tr>
      <w:tr>
        <w:trPr>
          <w:cantSplit/>
        </w:trPr>
        <w:tc>
          <w:tcPr>
            <w:tcW w:w="2808" w:type="dxa"/>
          </w:tcPr>
          <w:p>
            <w:pPr>
              <w:pStyle w:val="TableText"/>
            </w:pPr>
            <w:r>
              <w:t xml:space="preserve">significant</w:t>
            </w:r>
          </w:p>
        </w:tc>
        <w:tc>
          <w:tcPr>
            <w:tcW w:w="2527" w:type="dxa"/>
          </w:tcPr>
          <w:p>
            <w:pPr>
              <w:pStyle w:val="TableText"/>
            </w:pPr>
            <w:r>
              <w:t xml:space="preserve">not equivalent</w:t>
            </w:r>
          </w:p>
        </w:tc>
        <w:tc>
          <w:tcPr>
            <w:tcW w:w="4025" w:type="dxa"/>
          </w:tcPr>
          <w:p>
            <w:pPr>
              <w:pStyle w:val="TableText"/>
            </w:pPr>
            <w:r>
              <w:t xml:space="preserve">rejected</w:t>
            </w:r>
          </w:p>
        </w:tc>
      </w:tr>
    </w:tbl>
    <w:p>
      <w:pPr>
        <w:pStyle w:val="BodyText"/>
        <w:spacing w:before="200"/>
      </w:pPr>
      <w:r>
        <w:rPr>
          <w:b/>
          <w:bCs/>
        </w:rPr>
        <w:t xml:space="preserve">Joint model.</w:t>
      </w:r>
      <w:r>
        <w:t xml:space="preserve"> </w:t>
      </w:r>
      <w:r>
        <w:t xml:space="preserve">To compare the two dimensions directly, both are fitted together:</w:t>
      </w:r>
    </w:p>
    <w:p>
      <w:pPr>
        <w:pStyle w:val="SourceCode"/>
      </w:pPr>
      <w:r>
        <w:rPr>
          <w:rStyle w:val="VerbatimChar"/>
        </w:rPr>
        <w:t xml:space="preserve">rating ~ attribution * dimension * image_kind</w:t>
      </w:r>
      <w:r>
        <w:br/>
      </w:r>
      <w:r>
        <w:rPr>
          <w:rStyle w:val="VerbatimChar"/>
        </w:rPr>
        <w:t xml:space="preserve">         + (1 + dimension | participant)</w:t>
      </w:r>
      <w:r>
        <w:br/>
      </w:r>
      <w:r>
        <w:rPr>
          <w:rStyle w:val="VerbatimChar"/>
        </w:rPr>
        <w:t xml:space="preserve">         + (1 | image:dimension)</w:t>
      </w:r>
    </w:p>
    <w:p>
      <w:pPr>
        <w:pStyle w:val="FirstParagraph"/>
      </w:pPr>
      <w:r>
        <w:t xml:space="preserve">H2 is the</w:t>
      </w:r>
      <w:r>
        <w:t xml:space="preserve"> </w:t>
      </w:r>
      <w:r>
        <w:rPr>
          <w:rStyle w:val="VerbatimChar"/>
        </w:rPr>
        <w:t xml:space="preserve">attribution × dimension</w:t>
      </w:r>
      <w:r>
        <w:t xml:space="preserve"> </w:t>
      </w:r>
      <w:r>
        <w:t xml:space="preserve">term. The by-participant slope for dimension is what makes this test legitimate: the prediction concerns whether the within-person gap between effort and creativity penalties differs by condition, so that gap must be free to vary across people and be tested against that variation. If that slope is singular, the fallback is a participant intercept only, the output records which structure was used, and the comparative claim is reported as weakened, because the slope is the part that makes the test the right one. We also report the difference of differences with a confidence interval, which states the prediction in rating units.</w:t>
      </w:r>
    </w:p>
    <w:p>
      <w:pPr>
        <w:pStyle w:val="BodyText"/>
      </w:pPr>
      <w:r>
        <w:t xml:space="preserve">The image side is one intercept per image-by-dimension cell rather than an image intercept plus a dimension slope. An image can look effortful without looking creative, and the cell-level intercept lets those two run free of each other. The cost is that it also forces them to be uncorrelated within an image, which is a constraint rather than a neutral choice, and we record it here rather than let the notation imply otherwise.</w:t>
      </w:r>
    </w:p>
    <w:p>
      <w:pPr>
        <w:pStyle w:val="BodyText"/>
      </w:pPr>
      <w:r>
        <w:rPr>
          <w:b/>
          <w:bCs/>
        </w:rPr>
        <w:t xml:space="preserve">H2 and the comparability of two scales.</w:t>
      </w:r>
      <w:r>
        <w:t xml:space="preserve"> </w:t>
      </w:r>
      <w:r>
        <w:t xml:space="preserve">Both dimensions use the same five-point instrument with parallel anchors, asked on the same trial about the same image, which is what makes a one-point difference mean the same thing on both. That is not by itself enough, and the objection has to be answered rather than asserted away: if the two dimensions start at different levels under human attribution, the one further from the floor has more room to fall, and a larger raw drop on effort would be partly expected on those grounds alone. We therefore register the human-arm marginal means for both dimensions as a reported quantity, so the question is answerable from the paper, and we register two versions of the H2 test rather than one. The first is the raw-scale</w:t>
      </w:r>
      <w:r>
        <w:t xml:space="preserve"> </w:t>
      </w:r>
      <w:r>
        <w:rPr>
          <w:rStyle w:val="VerbatimChar"/>
        </w:rPr>
        <w:t xml:space="preserve">attribution × dimension</w:t>
      </w:r>
      <w:r>
        <w:t xml:space="preserve"> </w:t>
      </w:r>
      <w:r>
        <w:t xml:space="preserve">contrast in rating points. The second is the same contrast in a cumulative-link mixed model: a model that treats the five response options as ordered categories rather than as equally spaced numbers, cutting thresholds across one underlying continuous scale and estimating the effects on that scale, so that compression near the floor is absorbed by the thresholds rather than by the effect. It is fitted to the same stacked data as the joint model, with the same fixed effects and the same random structure:</w:t>
      </w:r>
    </w:p>
    <w:p>
      <w:pPr>
        <w:pStyle w:val="SourceCode"/>
      </w:pPr>
      <w:r>
        <w:rPr>
          <w:rStyle w:val="VerbatimChar"/>
        </w:rPr>
        <w:t xml:space="preserve">rating ~ attribution * dimension * image_kind</w:t>
      </w:r>
      <w:r>
        <w:br/>
      </w:r>
      <w:r>
        <w:rPr>
          <w:rStyle w:val="VerbatimChar"/>
        </w:rPr>
        <w:t xml:space="preserve">         + (1 + dimension | participant)</w:t>
      </w:r>
      <w:r>
        <w:br/>
      </w:r>
      <w:r>
        <w:rPr>
          <w:rStyle w:val="VerbatimChar"/>
        </w:rPr>
        <w:t xml:space="preserve">         + (1 | image:dimension)</w:t>
      </w:r>
    </w:p>
    <w:p>
      <w:pPr>
        <w:pStyle w:val="FirstParagraph"/>
      </w:pPr>
      <w:r>
        <w:t xml:space="preserve">that is, a random intercept and a random dimension slope for each participant, and a random intercept for each image-by-dimension cell. If that structure does not converge, the fallback is a participant intercept only beside the image-by-dimension intercept, the deposited table records which structure was used, and the fallback is stated in words wherever the ordinal contrast is reported. H2 is claimed only if the two versions agree in sign and in significance. A disagreement is reported as a failure of H2 with the range explanation named.</w:t>
      </w:r>
    </w:p>
    <w:p>
      <w:pPr>
        <w:pStyle w:val="BodyText"/>
      </w:pPr>
      <w:r>
        <w:rPr>
          <w:b/>
          <w:bCs/>
        </w:rPr>
        <w:t xml:space="preserve">Variance decomposition for H4.</w:t>
      </w:r>
      <w:r>
        <w:t xml:space="preserve"> </w:t>
      </w:r>
      <w:r>
        <w:t xml:space="preserve">The registered test frees two variances by condition, fitted per dimension: the participant intercept variance and the residual variance. In the deposited code these are two companion fits, and they do not share one covariance structure. The first keeps the primary model’s random intercept for each image, lets the between-participant variance differ by condition, and holds one residual variance for both conditions. The second lets the residual variance differ by condition and also lets the between-participant variance differ by condition, because a fit that held one participant variance for both arms would leave any extra between-participant spread in one arm nowhere to go but that arm’s residual, and the residual ratio would then report the opposite of what it should. The second fit has no random intercept for images, so its residual also carries the differences between images. Each ratio below is read from the fit that frees it: the participant ratio from the first fit and the residual ratio from the second. From them we register two quantities, each on the absolute variance scale and each with a confidence interval: the ratio of AI to human between-participant variance, and the ratio of AI to human residual variance. H4 is supported on a dimension only if the participant ratio exceeds 1 with its whole interval above 1, and the residual ratio falls below 1 with its whole interval below 1. The verdict is reported for each dimension and for the two together.</w:t>
      </w:r>
    </w:p>
    <w:p>
      <w:pPr>
        <w:pStyle w:val="BodyText"/>
      </w:pPr>
      <w:r>
        <w:t xml:space="preserve">The confidence interval on each ratio comes from a percentile bootstrap, an interval read directly from the spread of an estimate across resampled datasets. The bootstrap resamples participants rather than ratings, because the participant is the unit that varies between the arms. Within each condition separately, participants are drawn with replacement until that arm is back to its original size, so the two arms keep their sizes and neither is resampled from the other. A participant drawn more than once is given a distinct identifier for each copy, so that the random-effects fit treats the copies as separate people rather than as one person with twenty extra ratings. Both companion fits are refitted on each resampled dataset and the two ratios recorded. One thousand resamples are drawn under seed 20260421, the seed named under effect sizes, and the interval on each ratio runs from the 2.5th to the 97.5th percentile of the resampled values, a 95 percent interval. A resample yields no ratio when its refit stops with an error, when it may not have converged, or when the ratio it gives is not a finite number. Such resamples are counted as failed and left out of the interval. A singular refit with a finite ratio is kept, because it is a legitimate estimate at the edge of the allowed range. Both counts are reported beside each interval.</w:t>
      </w:r>
    </w:p>
    <w:p>
      <w:pPr>
        <w:pStyle w:val="BodyText"/>
      </w:pPr>
      <w:r>
        <w:t xml:space="preserve">Alongside these we report a likelihood ratio test on each of the two freed variances: twice the difference in log-likelihood between two nested models, a measure of how much better the larger one fits. The between-participant test compares the fit with two between-participant variances, one per condition, against the fit holding a single shared variance for both. The residual test compares the fit with two residual variances, one per condition, against the fit holding a single shared residual variance, with the between-participant variance free by condition in both models of that comparison. The null hypothesis of each test sets two positive quantities equal to each other; neither sets a variance to zero. The parameter under the null therefore lies inside the allowed range rather than at its edge, and the ordinary chi-square distribution with one degree of freedom is the right reference for both. The boundary correction is the half-and-half mixture of a point mass at zero and a chi-square, used when a variance is tested against zero and the null sits on the edge of what a variance can be. It belongs to that other test and not to these, and it is not applied here. The reference distribution is stated beside each reported value, for the between-participant test and for the residual test alike. It is the between-participant test that enters the confirmatory family of section 7.</w:t>
      </w:r>
    </w:p>
    <w:p>
      <w:pPr>
        <w:pStyle w:val="BodyText"/>
      </w:pPr>
      <w:r>
        <w:t xml:space="preserve">Three further quantities are descriptive and are named here so that they are not mistaken for the test: the three-way partition of rating variance within each condition into differences between images, differences between participants, and each participant’s particular response to each image, reported as proportions; internal consistency across the ten images within each condition; and the proportion of participants giving the same rating to seven or more of the ten artworks. None of the three is part of the support criterion for H4.</w:t>
      </w:r>
    </w:p>
    <w:p>
      <w:pPr>
        <w:pStyle w:val="BodyText"/>
      </w:pPr>
      <w:r>
        <w:rPr>
          <w:b/>
          <w:bCs/>
        </w:rPr>
        <w:t xml:space="preserve">Effect sizes.</w:t>
      </w:r>
      <w:r>
        <w:t xml:space="preserve"> </w:t>
      </w:r>
      <w:r>
        <w:t xml:space="preserve">Cohen’s</w:t>
      </w:r>
      <w:r>
        <w:t xml:space="preserve"> </w:t>
      </w:r>
      <w:r>
        <w:rPr>
          <w:i/>
          <w:iCs/>
        </w:rPr>
        <w:t xml:space="preserve">d</w:t>
      </w:r>
      <w:r>
        <w:t xml:space="preserve">, a difference expressed in standard deviations, computed as (human mean − AI mean) divided by the pooled standard deviation of participant means, with a stratified percentile bootstrap confidence interval, 10,000 resamples, seed 20260421. The denominator is the between-participant spread appropriate to a between-participant contrast estimated from repeated measures: averaging each person’s ten ratings first removes measurement noise that has no place in the comparison. Because it removes that noise, these values are not comparable to</w:t>
      </w:r>
      <w:r>
        <w:t xml:space="preserve"> </w:t>
      </w:r>
      <w:r>
        <w:rPr>
          <w:i/>
          <w:iCs/>
        </w:rPr>
        <w:t xml:space="preserve">d</w:t>
      </w:r>
      <w:r>
        <w:t xml:space="preserve"> </w:t>
      </w:r>
      <w:r>
        <w:t xml:space="preserve">computed on raw observations, nor to the conventional small-medium-large benchmarks, and we say so wherever they appear. Beside them we report a model-based standardised effect, the attribution coefficient divided by the square root of the summed variance components, which is comparable to the between-subject effect sizes in the surrounding literature. This single convention is used throughout; where other effect-size formulations appear they are labelled.</w:t>
      </w:r>
    </w:p>
    <w:p>
      <w:pPr>
        <w:pStyle w:val="BodyText"/>
      </w:pPr>
      <w:r>
        <w:rPr>
          <w:b/>
          <w:bCs/>
        </w:rPr>
        <w:t xml:space="preserve">What the design can resolve.</w:t>
      </w:r>
      <w:r>
        <w:t xml:space="preserve"> </w:t>
      </w:r>
      <w:r>
        <w:t xml:space="preserve">We report what this sample can detect rather than assuming it is enough. For H3 we report whether this design can resolve the registered bound, and we answer that with the power of the equivalence test itself rather than with the power of a significance test. Power here means the probability that a test gives a particular answer when a particular state of the world holds. The quantity reported is the probability that the confidence interval the two one-sided tests examine falls inside the ±0.20 bound on the</w:t>
      </w:r>
      <w:r>
        <w:t xml:space="preserve"> </w:t>
      </w:r>
      <w:r>
        <w:rPr>
          <w:rStyle w:val="VerbatimChar"/>
        </w:rPr>
        <w:t xml:space="preserve">attribution × image_kind</w:t>
      </w:r>
      <w:r>
        <w:t xml:space="preserve"> </w:t>
      </w:r>
      <w:r>
        <w:t xml:space="preserve">interaction when the true interaction is zero. It is found by simulation: artificial datasets of the same shape as ours are generated from the registered model with its estimated variance components and the interaction set to zero, the model is refitted to each, and the share of datasets on which the two one-sided tests pass is the power. That share is reported with its Monte Carlo standard error, the amount it would move from one run of the simulation to the next purely because the datasets are random draws, and beside an analytic approximation computed from the standard error of the interaction, as a check on both. The same simulation is repeated with the interaction set to a small nonzero value fixed in the deposited code, as sensitivity, and every simulated interval is also read against the descriptive bounds of 0.30 and 0.50 rating points, so that the deposited table says how far the bound would have to be widened before the design usually passed. The number of simulated datasets and the seed are fixed in the deposited code and reported with the result.</w:t>
      </w:r>
    </w:p>
    <w:p>
      <w:pPr>
        <w:pStyle w:val="BodyText"/>
      </w:pPr>
      <w:r>
        <w:t xml:space="preserve">The equivalence verdict stands on its own. A pass is valid evidence whatever the test’s power, because the two one-sided tests hold the rate of wrongly declaring equivalence at the level each test uses; low power only makes a pass unlikely, not wrong. A fail is informative only when the design would usually have passed under a true interaction of zero. When the power of the equivalence test at the registered bound is below 80 percent, a failed equivalence test is therefore reported as uninformative: it says more about the width of the interval this design produces than about the interaction. The smallest</w:t>
      </w:r>
      <w:r>
        <w:t xml:space="preserve"> </w:t>
      </w:r>
      <w:r>
        <w:rPr>
          <w:rStyle w:val="VerbatimChar"/>
        </w:rPr>
        <w:t xml:space="preserve">attribution × image_kind</w:t>
      </w:r>
      <w:r>
        <w:t xml:space="preserve"> </w:t>
      </w:r>
      <w:r>
        <w:t xml:space="preserve">interaction a significance test would detect at 80 percent power under the registered model is reported beside these figures as context and carries no verdict, because detecting an effect and ruling out an effect of the bound’s size are different questions, and only the second bears on H3. The wider bounds remain descriptive and carry no verdict.</w:t>
      </w:r>
    </w:p>
    <w:p>
      <w:pPr>
        <w:pStyle w:val="BodyText"/>
      </w:pPr>
      <w:r>
        <w:t xml:space="preserve">For H4 we report, by simulation, how far the estimate of the between-participant variance ratio moves from one sample to the next at 55 and 56 participants per arm. The simulation takes its variance components from the three-way partition described above, so that each arm’s three components are the ones estimated for that arm. That partition is the intercept-only model, one with no predictors that fits a grand mean and the three sources of spread and nothing else, fitted within each arm separately, for each dimension, and it splits the rating variance into differences between images, differences between participants, and each participant’s particular response to each image. The simulation generates artificial datasets of the same shape as ours, ten images rated by 55 participants in one arm and 56 in the other, under two states of the world: one in which the between-participant variance is the same in both arms, set to the average of the two arms’ estimates weighted by their sizes, with the other two components kept at their per-arm values; and one in which the two arms carry the pair of between-participant variances the partition estimated. On every artificial dataset the between-participant fit is repeated and its ratio and likelihood ratio test recorded. From those runs we report the spread of the estimated ratio across simulated datasets, given by its 2.5th and 97.5th percentiles and the distance between them, which describes how precisely a sample of this size estimates the ratio. That spread is not the width of a confidence interval, and it is not the coverage of one, the share of intervals that would contain the true ratio, because no interval is built inside the simulated datasets. Beside it we report the share of simulated datasets on which the test rejects at .05, which under the shared variance is the false-positive rate and under the estimated pair is the power. We also report the smallest ratio the test detects with 80 percent power, found by repeating the exercise over a small grid of ratios. The number of simulated datasets and the grid are fixed in the deposited code and reported with the result. H3 rests on ten images, five of each kind, and H4 on two samples of that size, so these are the two predictions most exposed here, and where the design cannot resolve one we say so in advance and report a null on it as uninformative rather than as evidence of absence.</w:t>
      </w:r>
    </w:p>
    <w:p>
      <w:pPr>
        <w:pStyle w:val="BodyText"/>
      </w:pPr>
      <w:r>
        <w:rPr>
          <w:b/>
          <w:bCs/>
        </w:rPr>
        <w:t xml:space="preserve">Robustness.</w:t>
      </w:r>
      <w:r>
        <w:t xml:space="preserve"> </w:t>
      </w:r>
      <w:r>
        <w:t xml:space="preserve">The primary result is refit across the cross-product of analytic choices along four factors: random-effects structure, model family, covariate set, and aggregation level. The levels of each factor, and the exact number of specifications they produce, are fixed and deposited before the resulting curve is read, and every cell of the cross-product is fitted rather than a chosen subset. The distribution of estimates is reported as a specification curve, and the curve is descriptive: no inferential test is applied to it, and neither its median nor the share of specifications in the predicted direction is offered as evidence for any prediction. We additionally report an ordinal cumulative-link model respecting the five-point scale, a Bayesian refit, demographic covariate adjustment, the maximal random-effects structure described above with both a by-participant slope for image kind and a by-image slope for attribution, and leave-one-participant-out and leave-one-image-out refits.</w:t>
      </w:r>
    </w:p>
    <w:p>
      <w:pPr>
        <w:pStyle w:val="BodyText"/>
      </w:pPr>
      <w:r>
        <w:t xml:space="preserve">Every one of these checks reports one quantity, the H1 contrast defined above: the human-arm mean minus the AI-arm mean, averaged with equal weight over the two image kinds. A model that treats the ratings as ordered categories gives it on its own scale, the log-odds of a higher rating, and the deposited table names the scale of every row. When one image is dropped, each image kind still receives equal weight in the contrast. In a model with the attribution-by-image-kind interaction, the treatment-coded attribution coefficient is the effect at non-figurative images only. That coefficient is reported beside the contrast under its own name and is not read as a second estimate of H1.</w:t>
      </w:r>
    </w:p>
    <w:p>
      <w:pPr>
        <w:pStyle w:val="BodyText"/>
      </w:pPr>
      <w:r>
        <w:rPr>
          <w:b/>
          <w:bCs/>
        </w:rPr>
        <w:t xml:space="preserve">The first figurative effort item.</w:t>
      </w:r>
      <w:r>
        <w:t xml:space="preserve"> </w:t>
      </w:r>
      <w:r>
        <w:t xml:space="preserve">One of the twenty rating items was worded differently. On the effort question for the first figurative image (</w:t>
      </w:r>
      <w:r>
        <w:rPr>
          <w:rStyle w:val="VerbatimChar"/>
        </w:rPr>
        <w:t xml:space="preserve">1FigureEff</w:t>
      </w:r>
      <w:r>
        <w:t xml:space="preserve"> </w:t>
      </w:r>
      <w:r>
        <w:t xml:space="preserve">in the export), the two highest options read</w:t>
      </w:r>
      <w:r>
        <w:t xml:space="preserve"> </w:t>
      </w:r>
      <w:r>
        <w:t xml:space="preserve">“A lot of effort involved”</w:t>
      </w:r>
      <w:r>
        <w:t xml:space="preserve"> </w:t>
      </w:r>
      <w:r>
        <w:t xml:space="preserve">and</w:t>
      </w:r>
      <w:r>
        <w:t xml:space="preserve"> </w:t>
      </w:r>
      <w:r>
        <w:t xml:space="preserve">“Significant effort involved”</w:t>
      </w:r>
      <w:r>
        <w:t xml:space="preserve">. On the other nine effort questions they read</w:t>
      </w:r>
      <w:r>
        <w:t xml:space="preserve"> </w:t>
      </w:r>
      <w:r>
        <w:t xml:space="preserve">“Significant effort involved”</w:t>
      </w:r>
      <w:r>
        <w:t xml:space="preserve"> </w:t>
      </w:r>
      <w:r>
        <w:t xml:space="preserve">and</w:t>
      </w:r>
      <w:r>
        <w:t xml:space="preserve"> </w:t>
      </w:r>
      <w:r>
        <w:t xml:space="preserve">“A great deal of effort involved”</w:t>
      </w:r>
      <w:r>
        <w:t xml:space="preserve">. The primary analysis scores the item by the position of the answer chosen and keeps it. A sensitivity refit removes that item’s 111 ratings and re-estimates the H1 effort contrast and the H2 contrast of contrasts. A second H2 refit removes that image from both dimensions, so that the two sides of the contrast rest on the same nine images. Each refit is set beside the full-sample value and carries no verdict.</w:t>
      </w:r>
    </w:p>
    <w:bookmarkEnd w:id="25"/>
    <w:bookmarkStart w:id="26" w:name="what-counts-as-support"/>
    <w:p>
      <w:pPr>
        <w:pStyle w:val="Heading2"/>
      </w:pPr>
      <w:r>
        <w:t xml:space="preserve">7. What counts as support</w:t>
      </w:r>
    </w:p>
    <w:p>
      <w:pPr>
        <w:pStyle w:val="FirstParagraph"/>
      </w:pPr>
      <w:r>
        <w:rPr>
          <w:b/>
          <w:bCs/>
        </w:rPr>
        <w:t xml:space="preserve">The confirmatory family.</w:t>
      </w:r>
      <w:r>
        <w:t xml:space="preserve"> </w:t>
      </w:r>
      <w:r>
        <w:t xml:space="preserve">H1, H2 and H4 are our confirmatory set. They contribute four tests between them, and we enumerate them rather than leave the family to be inferred: the attribution contrast for creativity, the attribution contrast for effort, the</w:t>
      </w:r>
      <w:r>
        <w:t xml:space="preserve"> </w:t>
      </w:r>
      <w:r>
        <w:rPr>
          <w:rStyle w:val="VerbatimChar"/>
        </w:rPr>
        <w:t xml:space="preserve">attribution × dimension</w:t>
      </w:r>
      <w:r>
        <w:t xml:space="preserve"> </w:t>
      </w:r>
      <w:r>
        <w:t xml:space="preserve">contrast, and the H4 likelihood ratio test on the between-participant variance. Those four</w:t>
      </w:r>
      <w:r>
        <w:t xml:space="preserve"> </w:t>
      </w:r>
      <w:r>
        <w:rPr>
          <w:i/>
          <w:iCs/>
        </w:rPr>
        <w:t xml:space="preserve">p</w:t>
      </w:r>
      <w:r>
        <w:t xml:space="preserve">-values are corrected together by the Holm procedure, in which the tests are ordered from the smallest</w:t>
      </w:r>
      <w:r>
        <w:t xml:space="preserve"> </w:t>
      </w:r>
      <w:r>
        <w:rPr>
          <w:i/>
          <w:iCs/>
        </w:rPr>
        <w:t xml:space="preserve">p</w:t>
      </w:r>
      <w:r>
        <w:t xml:space="preserve">-value upward and each is compared against a threshold that begins strictest and relaxes as earlier tests pass, at a family-wise alpha of .05.</w:t>
      </w:r>
    </w:p>
    <w:p>
      <w:pPr>
        <w:pStyle w:val="BodyText"/>
      </w:pPr>
      <w:r>
        <w:t xml:space="preserve">H1 is a conjunction, requiring the effect on both dimensions. A conjunction is only as strong as its weakest component, so correcting it alongside the others is conservative; we accept that conservatism rather than argue for the looser rule that a conjunction can be evaluated component by component without correction.</w:t>
      </w:r>
    </w:p>
    <w:p>
      <w:pPr>
        <w:pStyle w:val="BodyText"/>
      </w:pPr>
      <w:r>
        <w:t xml:space="preserve">Support means the predicted direction at a Holm-corrected</w:t>
      </w:r>
      <w:r>
        <w:t xml:space="preserve"> </w:t>
      </w:r>
      <w:r>
        <w:rPr>
          <w:i/>
          <w:iCs/>
        </w:rPr>
        <w:t xml:space="preserve">p</w:t>
      </w:r>
      <w:r>
        <w:t xml:space="preserve"> </w:t>
      </w:r>
      <w:r>
        <w:t xml:space="preserve">below .05 in the specified model, accompanied by an effect size and interval. H4 is the exception, because a comparison of variances has no direction in the sense that sentence means: its support criterion is the pair of variance ratios and their intervals, as stated in section 6, and its likelihood ratio test on the between-participant variance enters the Holm family so that the family is complete. That test is run once per dimension, and H4, like H1, is a conjunction: it predicts the structural shift on both dimensions, and a conjunction is only as strong as its weakest component. The larger of the two</w:t>
      </w:r>
      <w:r>
        <w:t xml:space="preserve"> </w:t>
      </w:r>
      <w:r>
        <w:rPr>
          <w:i/>
          <w:iCs/>
        </w:rPr>
        <w:t xml:space="preserve">p</w:t>
      </w:r>
      <w:r>
        <w:t xml:space="preserve">-values is therefore the one that enters the family, and both are carried beside it in the deposited table so that the choice hides nothing. A pass for that row is a pass for the between-participant test alone. It does not mean H4 passed, and the deposited table says on that row whether the full criterion of section 6 was met on each dimension and on both.</w:t>
      </w:r>
    </w:p>
    <w:p>
      <w:pPr>
        <w:pStyle w:val="BodyText"/>
      </w:pPr>
      <w:r>
        <w:t xml:space="preserve">H3 is not part of that family. It is a null prediction and it is decided by the four-cell table in section 6, under both random-effects structures, rather than by a corrected</w:t>
      </w:r>
      <w:r>
        <w:t xml:space="preserve"> </w:t>
      </w:r>
      <w:r>
        <w:rPr>
          <w:i/>
          <w:iCs/>
        </w:rPr>
        <w:t xml:space="preserve">p</w:t>
      </w:r>
      <w:r>
        <w:t xml:space="preserve">-value. The equivalence verdict in that table stands on its own and is not qualified by a power figure when it is a pass: the two one-sided tests hold the rate of wrongly declaring equivalence at the level each test uses, so a pass is evidence at face value. When the equivalence test does not pass, the cell it falls in is reported as it stands, and the failed equivalence test is additionally reported as uninformative if the power of that test under a true interaction of zero, computed by simulation as section 6 describes, is below 80 percent. In that case the inconclusive verdict is a statement about the width of the interval this design produces, not about the interaction, and the paper says so in those words. The smallest interaction a significance test would detect is reported as context and carries no verdict, and the wider bounds of 0.30 and 0.50 rating points remain descriptive.</w:t>
      </w:r>
    </w:p>
    <w:p>
      <w:pPr>
        <w:pStyle w:val="BodyText"/>
      </w:pPr>
      <w:r>
        <w:t xml:space="preserve">Where the deposited tables carry a false-discovery-rate column, an adjustment controlling the expected share of false positives among the rows called positive within a single table, that column is descriptive, belongs to a different and larger set of exploratory quantities, and is not the correction described here. It is labelled as such, and no claim in the paper rests on it.</w:t>
      </w:r>
    </w:p>
    <w:p>
      <w:pPr>
        <w:pStyle w:val="BodyText"/>
      </w:pPr>
      <w:r>
        <w:t xml:space="preserve">A result appearing only under an alternative specification is reported as exploratory. Where a prediction fails we report it as a failure. We do not substitute a different specification to obtain a preferred result.</w:t>
      </w:r>
    </w:p>
    <w:p>
      <w:pPr>
        <w:pStyle w:val="BodyText"/>
      </w:pPr>
      <w:r>
        <w:t xml:space="preserve">Every fitted model carries a status beside its estimates: converged, singular, not converged, or stopped with an error. A singular fit is reported with that status. A</w:t>
      </w:r>
      <w:r>
        <w:t xml:space="preserve"> </w:t>
      </w:r>
      <w:r>
        <w:rPr>
          <w:i/>
          <w:iCs/>
        </w:rPr>
        <w:t xml:space="preserve">p</w:t>
      </w:r>
      <w:r>
        <w:t xml:space="preserve">-value or verdict that would come from a fit that did not converge or stopped with an error is set to missing, and the deposited table says why. No prediction is claimed from such a fit, and the confirmatory family stays at four tests whatever happens to any one of them.</w:t>
      </w:r>
    </w:p>
    <w:bookmarkEnd w:id="26"/>
    <w:bookmarkStart w:id="27" w:name="status"/>
    <w:p>
      <w:pPr>
        <w:pStyle w:val="Heading2"/>
      </w:pPr>
      <w:r>
        <w:t xml:space="preserve">8. Status</w:t>
      </w:r>
    </w:p>
    <w:p>
      <w:pPr>
        <w:pStyle w:val="FirstParagraph"/>
      </w:pPr>
      <w:r>
        <w:t xml:space="preserve">This is a postregistration. The data were collected between 25 February and 3 March 2025. Study 1 was not registered with any registry before collection. Every analysis specified in sections 6 and 9 had been run by the time this document was completed: most of them in September 2026, and all of them in October 2026, after a review of the analysis code. The document registers the design, the predictions and the analysis specification, and commits us to reporting each result as stated above whatever it shows. Results are reported separately and are not part of this document.</w:t>
      </w:r>
    </w:p>
    <w:p>
      <w:pPr>
        <w:pStyle w:val="BodyText"/>
      </w:pPr>
      <w:r>
        <w:t xml:space="preserve">Because that ordering changes how each element should be read, we mark which parts of the analysis plan were settled with the estimates already in view. The joint two-dimension model that tests H2, the equivalence bound and decision table for H3, the multiplicity method and the enumeration of the confirmatory family, the primary quantity for H4, and the test specifications and multiplicity policy for section 9 were all settled after the analyses had been run. A further set was settled in October 2026, after the estimates of the September runs had been read. For the ratings, that set comprises the H1 contrast as the one estimand of every robustness check, the sensitivity refit without the first figurative effort item, and the rule that withholds a</w:t>
      </w:r>
      <w:r>
        <w:t xml:space="preserve"> </w:t>
      </w:r>
      <w:r>
        <w:rPr>
          <w:i/>
          <w:iCs/>
        </w:rPr>
        <w:t xml:space="preserve">p</w:t>
      </w:r>
      <w:r>
        <w:t xml:space="preserve">-value or verdict from a fit that did not converge. For the texts, it comprises the split of the prior-exposure association into within-person and between-person parts, the assertion reading of the machine-authorship rule, the size reading of</w:t>
      </w:r>
      <w:r>
        <w:t xml:space="preserve"> </w:t>
      </w:r>
      <w:r>
        <w:rPr>
          <w:i/>
          <w:iCs/>
        </w:rPr>
        <w:t xml:space="preserve">little</w:t>
      </w:r>
      <w:r>
        <w:t xml:space="preserve">, the vocabulary floor applied inside training folds, the restricted shuffle and the incremental comparison in the first check, the test, correction and three readings of the second check, and the general description of the text. All of these should be read as decisions taken with knowledge of the estimates, not as constraints imposed in advance, and a reader is entitled to discount them accordingly. The remaining elements of section 6 were fixed before: the per-dimension primary model, the exclusion sequence, and the effect-size convention with its seed.</w:t>
      </w:r>
    </w:p>
    <w:p>
      <w:pPr>
        <w:pStyle w:val="BodyText"/>
      </w:pPr>
      <w:r>
        <w:t xml:space="preserve">Section 5’s predictions are recorded here as predictions. A reader weighing them should know that they were set down alongside this document rather than deposited in advance of the analyses, and should judge them against the doctrinal argument in section 2, from which they follow and against which they can be checked.</w:t>
      </w:r>
    </w:p>
    <w:bookmarkEnd w:id="27"/>
    <w:bookmarkStart w:id="28" w:name="the-written-explanations"/>
    <w:p>
      <w:pPr>
        <w:pStyle w:val="Heading2"/>
      </w:pPr>
      <w:r>
        <w:t xml:space="preserve">9. The written explanations</w:t>
      </w:r>
    </w:p>
    <w:p>
      <w:pPr>
        <w:pStyle w:val="FirstParagraph"/>
      </w:pPr>
      <w:r>
        <w:t xml:space="preserve">Every rating was followed by a short written explanation of it. These texts are a secondary source. No prediction in section 5 depends on them, and nothing here is offered in support of one. The rules written for them answer four questions. Those four questions carry five directional tests between them, and each is given a model, a unit of analysis and a place in a multiplicity policy below, so that the discipline section 7 applies to three predictions is not quietly abandoned for five. Two checks, described after the tests and the descriptive quantities beside them, are also run on the texts. They ask nothing about what a word denoted. The first is a descriptive quantity; the second is a directional test with a correction family of its own. A general description of the text follows them, and it is exploratory throughout.</w:t>
      </w:r>
    </w:p>
    <w:p>
      <w:pPr>
        <w:pStyle w:val="BodyText"/>
      </w:pPr>
      <w:r>
        <w:rPr>
          <w:b/>
          <w:bCs/>
        </w:rPr>
        <w:t xml:space="preserve">What did people mean by</w:t>
      </w:r>
      <w:r>
        <w:rPr>
          <w:b/>
          <w:bCs/>
        </w:rPr>
        <w:t xml:space="preserve"> </w:t>
      </w:r>
      <w:r>
        <w:rPr>
          <w:b/>
          <w:bCs/>
        </w:rPr>
        <w:t xml:space="preserve">“effort”</w:t>
      </w:r>
      <w:r>
        <w:rPr>
          <w:b/>
          <w:bCs/>
        </w:rPr>
        <w:t xml:space="preserve">?</w:t>
      </w:r>
      <w:r>
        <w:t xml:space="preserve"> </w:t>
      </w:r>
      <w:r>
        <w:t xml:space="preserve">The effort rating carries the doctrinal weight described in section 2, and that weight rests on an assumption: that when a participant says a work took effort, the word means labour of the sort</w:t>
      </w:r>
      <w:r>
        <w:t xml:space="preserve"> </w:t>
      </w:r>
      <w:r>
        <w:rPr>
          <w:i/>
          <w:iCs/>
        </w:rPr>
        <w:t xml:space="preserve">Feist</w:t>
      </w:r>
      <w:r>
        <w:t xml:space="preserve"> </w:t>
      </w:r>
      <w:r>
        <w:t xml:space="preserve">declined to protect. The assumption has never been checked. We therefore ask what the word denoted for participants who believed a person made the work: visible detail in the picture, time and industriousness, or skill and training. We predict that effort talk under human attribution refers chiefly to visible detail rather than to elapsed time, which would mean the effort rating is closer to a judgment of how much is on the canvas than to a judgment of how long someone worked. If instead time dominates, the mapping onto sweat of the brow is the stronger one, and we will say so.</w:t>
      </w:r>
    </w:p>
    <w:p>
      <w:pPr>
        <w:pStyle w:val="BodyText"/>
      </w:pPr>
      <w:r>
        <w:rPr>
          <w:b/>
          <w:bCs/>
        </w:rPr>
        <w:t xml:space="preserve">What did people mean by</w:t>
      </w:r>
      <w:r>
        <w:rPr>
          <w:b/>
          <w:bCs/>
        </w:rPr>
        <w:t xml:space="preserve"> </w:t>
      </w:r>
      <w:r>
        <w:rPr>
          <w:b/>
          <w:bCs/>
        </w:rPr>
        <w:t xml:space="preserve">“creativity”</w:t>
      </w:r>
      <w:r>
        <w:rPr>
          <w:b/>
          <w:bCs/>
        </w:rPr>
        <w:t xml:space="preserve">?</w:t>
      </w:r>
      <w:r>
        <w:t xml:space="preserve"> </w:t>
      </w:r>
      <w:r>
        <w:t xml:space="preserve">The same question about the other word matters more, because creativity is the criterion</w:t>
      </w:r>
      <w:r>
        <w:t xml:space="preserve"> </w:t>
      </w:r>
      <w:r>
        <w:rPr>
          <w:i/>
          <w:iCs/>
        </w:rPr>
        <w:t xml:space="preserve">Feist</w:t>
      </w:r>
      <w:r>
        <w:t xml:space="preserve"> </w:t>
      </w:r>
      <w:r>
        <w:t xml:space="preserve">keeps, and it has gone unasked for the same reason: the rating is treated as though every person answering it meant one thing by it. We ask what creativity denoted, using three candidate answers that parallel the effort ones. The first is</w:t>
      </w:r>
      <w:r>
        <w:t xml:space="preserve"> </w:t>
      </w:r>
      <w:r>
        <w:rPr>
          <w:b/>
          <w:bCs/>
        </w:rPr>
        <w:t xml:space="preserve">concept</w:t>
      </w:r>
      <w:r>
        <w:t xml:space="preserve">: the idea, meaning, thought or story behind the work, the writing that praises what a piece represents, what it says, or what the maker was thinking. The second is</w:t>
      </w:r>
      <w:r>
        <w:t xml:space="preserve"> </w:t>
      </w:r>
      <w:r>
        <w:rPr>
          <w:b/>
          <w:bCs/>
        </w:rPr>
        <w:t xml:space="preserve">novelty</w:t>
      </w:r>
      <w:r>
        <w:t xml:space="preserve">: whether the work strikes the viewer as new or as something already seen. The third is</w:t>
      </w:r>
      <w:r>
        <w:t xml:space="preserve"> </w:t>
      </w:r>
      <w:r>
        <w:rPr>
          <w:b/>
          <w:bCs/>
        </w:rPr>
        <w:t xml:space="preserve">execution</w:t>
      </w:r>
      <w:r>
        <w:t xml:space="preserve">: visible detail and rendering, what is actually on the canvas. Only concept requires a pattern of its own. Novelty is measured by the same prior-exposure pattern described below, and execution by the same visible-detail pattern used for the effort question. Reusing them rather than writing new ones is deliberate: a single measure of familiarity, applied to both questions, cannot be tuned to give a convenient answer in each.</w:t>
      </w:r>
    </w:p>
    <w:p>
      <w:pPr>
        <w:pStyle w:val="BodyText"/>
      </w:pPr>
      <w:r>
        <w:t xml:space="preserve">We predict that creativity talk under human attribution refers chiefly to concept rather than to execution; specifically, that creativity is understood as a property of the idea and effort as a property of the surface. If instead execution dominates on both questions, then the two ratings denote the same feature of the picture for these raters, and the distinction between a creative spark and the labour of putting marks down, which is the distinction the doctrine turns on, is not one lay judgment draws. That would be a substantive finding and would be reported as one.</w:t>
      </w:r>
    </w:p>
    <w:p>
      <w:pPr>
        <w:pStyle w:val="BodyText"/>
      </w:pPr>
      <w:r>
        <w:rPr>
          <w:b/>
          <w:bCs/>
        </w:rPr>
        <w:t xml:space="preserve">How the denotation comparisons are tested.</w:t>
      </w:r>
      <w:r>
        <w:t xml:space="preserve"> </w:t>
      </w:r>
      <w:r>
        <w:t xml:space="preserve">Each comparison is one model, not a side-by-side glance at two rates. For a given arm and a given rating dimension, the two flags being compared are stacked and fitted as a mixed logistic regression (a model for a true-or-false outcome) of the flag on which measure it is, with random intercepts for participant and for image. The random intercepts are what stop twenty explanations from one person being counted as twenty independent observations, which is the error that would otherwise make every standard error here far too small. Four comparisons are registered on this pattern: visible detail against time and visible detail against skill, in the human arm’s effort explanations; concept against execution and concept against novelty, in the human arm’s creativity explanations. The registered model gives each participant a baseline but one shared gap between the two measures. As a sensitivity check that changes no verdict, these four tests and the fifth, described below, are refitted with the gap each one tests also free to vary by participant, a random slope, so that a reader can see whether the simpler structure carries the result.</w:t>
      </w:r>
    </w:p>
    <w:p>
      <w:pPr>
        <w:pStyle w:val="BodyText"/>
      </w:pPr>
      <w:r>
        <w:rPr>
          <w:b/>
          <w:bCs/>
        </w:rPr>
        <w:t xml:space="preserve">Why novelty is asked about at all.</w:t>
      </w:r>
      <w:r>
        <w:t xml:space="preserve"> </w:t>
      </w:r>
      <w:r>
        <w:t xml:space="preserve">The novelty component carries a further point of law, and it is why novelty is asked about here rather than left out as an oddity. Copyright asks two things of a work and no more: that its author made it independently rather than copying it, and that it carry some minimal spark of creativity (</w:t>
      </w:r>
      <w:r>
        <w:rPr>
          <w:i/>
          <w:iCs/>
        </w:rPr>
        <w:t xml:space="preserve">Feist</w:t>
      </w:r>
      <w:r>
        <w:t xml:space="preserve">, 499 U.S. at 345). It does not ask whether the work is new to the world. Novelty, in the sense of being first, is a patent requirement (35 U.S.C. §§ 102-103), not a copyright one; a work resembling a thousand others is protectable so long as its author made it rather than copied it (</w:t>
      </w:r>
      <w:r>
        <w:rPr>
          <w:i/>
          <w:iCs/>
        </w:rPr>
        <w:t xml:space="preserve">Sheldon v. Metro-Goldwyn Pictures Corp.</w:t>
      </w:r>
      <w:r>
        <w:t xml:space="preserve">, 81 F.2d 49, 54 (2d Cir. 1936)).</w:t>
      </w:r>
    </w:p>
    <w:p>
      <w:pPr>
        <w:pStyle w:val="BodyText"/>
      </w:pPr>
      <w:r>
        <w:t xml:space="preserve">Two qualifications keep that point honest, and it is stronger for having them. Resemblance is not doctrinally inert: a strong similarity can be evidence that a work was copied rather than made independently, but that is a question of proof, not a novelty requirement. And expression so commonplace that it reflects no creative choice at all fails the creativity prong at the floor, which is a failure of creativity rather than of newness. What a lay demand for newness would import is stronger than either: a requirement that the work be new to the world, which copyright does not impose.</w:t>
      </w:r>
    </w:p>
    <w:p>
      <w:pPr>
        <w:pStyle w:val="BodyText"/>
      </w:pPr>
      <w:r>
        <w:t xml:space="preserve">We therefore measure whether an explanation calls a work familiar, generic or derivative, or explicitly denies that it is, and we report how often familiarity talk appears in creativity explanations. If people reach for newness when asked to explain a creativity judgment, then a criterion copyright does not impose is present in the vocabulary of that judgment, and that fact about the vocabulary is the claim we make.</w:t>
      </w:r>
    </w:p>
    <w:p>
      <w:pPr>
        <w:pStyle w:val="BodyText"/>
      </w:pPr>
      <w:r>
        <w:t xml:space="preserve">We also report the association between this measure and the creativity rating beside it, as description and nothing more. The association is estimated within each condition separately, so that the gap between the conditions’ means cannot manufacture it. The quantity of interest is within-person: whether a participant rates lower the particular images they call familiar than their own other images. A mixed model of the rating on the prior-exposure categories, with random intercepts for participant and for image, does not isolate that quantity. A participant who calls many works familiar may also rate everything lower, and a single coefficient mixes that difference between people with the contrast inside each person. Each category (familiarity asserted, familiarity denied) therefore enters the model twice. Its between-person part is the participant’s own share of explanations in that category, the same number on all ten of that person’s rows. Its within-person part is the response’s indicator minus that share, which averages to zero for every participant. Both parts enter one mixed model with random intercepts for participant and for image, fitted within each condition, and the within-person coefficient is the registered association. The same model is fitted to effort as a comparison. The single-coefficient model is reported beside it and labelled as a mixed-model association that blends the two parts. The association pooled across conditions is not reported as evidence for anything: if the label both lowers creativity ratings and raises familiarity talk, a pooled correlation appears with no within-person relationship whatever. Neither version can show that familiarity drove the rating, because the writing followed the rating, and we will not describe either as though it could. That restriction is stated below for every text measure; it is repeated here because this is the measure most likely to tempt a reader past it.</w:t>
      </w:r>
    </w:p>
    <w:p>
      <w:pPr>
        <w:pStyle w:val="BodyText"/>
      </w:pPr>
      <w:r>
        <w:rPr>
          <w:b/>
          <w:bCs/>
        </w:rPr>
        <w:t xml:space="preserve">What did participants told a person made the work write about machines?</w:t>
      </w:r>
      <w:r>
        <w:t xml:space="preserve"> </w:t>
      </w:r>
      <w:r>
        <w:t xml:space="preserve">The instrument carries no manipulation check, as recorded in section 3, so the written explanations are the only trace of how the cover story was received, and an indirect one. The belief audit is two counts, each produced by a fixed rule, so that the same text always yields the same count, and each the number of participants told a person made the work who wrote at least one explanation the rule flags; neither count involves a person reading a match. The broad count comes from the prompting rule, which fires on any mention of prompting, generating, or a machine, whether named as maker or as tool; it counts participants who mention machines or prompting. The narrow count comes from the machine-authorship rule read for assertion, as described under the measures below. It counts participants with at least one explanation stating that the work is or looks machine-made, with denials (</w:t>
      </w:r>
      <w:r>
        <w:t xml:space="preserve">“it doesn’t look AI generated”</w:t>
      </w:r>
      <w:r>
        <w:t xml:space="preserve">) and suppositions (</w:t>
      </w:r>
      <w:r>
        <w:t xml:space="preserve">“if a computer made this”</w:t>
      </w:r>
      <w:r>
        <w:t xml:space="preserve">) set aside, and it is the set on which the sensitivity refit and the matched comparison below are run. Both counts are reported rather than predicted. A rate above zero would be satisfied by a single case and no result could contradict it, so neither is a testable prediction and we do not dress either as one. Neither count measures disbelief. A participant who doubted the vignette may have written nothing about it, and a participant who wrote that a picture looks machine-made may have been describing how it looks while taking the vignette at its word.</w:t>
      </w:r>
    </w:p>
    <w:p>
      <w:pPr>
        <w:pStyle w:val="BodyText"/>
      </w:pPr>
      <w:r>
        <w:rPr>
          <w:b/>
          <w:bCs/>
        </w:rPr>
        <w:t xml:space="preserve">What did the machine-arm participants take the effort question to be about?</w:t>
      </w:r>
      <w:r>
        <w:t xml:space="preserve"> </w:t>
      </w:r>
      <w:r>
        <w:t xml:space="preserve">The machine words that, in the human arm, depart from what participants were told are plain description in the arm told an image generator made the work, and there they answer a different question: what those participants understood themselves to be rating. The same prompting and generating pattern is therefore counted in that arm on its own terms. We predict it appears more often in that arm’s effort explanations than in its creativity explanations, tested by the same mixed logistic regression described above: the flag on rating dimension, with random intercepts for participant and image, fitted within the machine arm. That is the fifth registered test. Under that pattern the effort rating in the machine arm is partly a judgment about operating a machine, while in the human arm it is a judgment about making a picture, so the two arms would be answering one question about two different objects. That is worth stating plainly whenever their ratings are compared. We do not predict a size.</w:t>
      </w:r>
    </w:p>
    <w:p>
      <w:pPr>
        <w:pStyle w:val="BodyText"/>
      </w:pPr>
      <w:r>
        <w:rPr>
          <w:b/>
          <w:bCs/>
        </w:rPr>
        <w:t xml:space="preserve">Multiplicity in this section.</w:t>
      </w:r>
      <w:r>
        <w:t xml:space="preserve"> </w:t>
      </w:r>
      <w:r>
        <w:t xml:space="preserve">The five tests named above are visible detail against time, visible detail against skill, concept against execution, concept against novelty, and prompting talk across the machine arm’s two dimensions. They form one exploratory family and are corrected together by the Benjamini-Hochberg procedure, which controls the expected share of false positives among the tests called positive, at .05. They are exploratory and are corrected as exploratory. They are not added to the confirmatory family of section 7, and no result among them is offered in support of a prediction in section 5.</w:t>
      </w:r>
    </w:p>
    <w:p>
      <w:pPr>
        <w:pStyle w:val="BodyText"/>
      </w:pPr>
      <w:r>
        <w:rPr>
          <w:b/>
          <w:bCs/>
        </w:rPr>
        <w:t xml:space="preserve">Descriptive analyses reported beside the tests.</w:t>
      </w:r>
      <w:r>
        <w:t xml:space="preserve"> </w:t>
      </w:r>
      <w:r>
        <w:t xml:space="preserve">Four further quantities are reported as exploratory description; none carries a test and none is offered in support of a prediction. The rate of prompting talk is compared between the two arms within each rating value, so that the comparison is not carried by the difference in the arms’ rating levels. Across the ten images, the share of effort explanations mentioning visible detail is correlated with the mean effort rating, and the share of creativity explanations mentioning concept with the mean creativity rating, each on ten points and each reported with its rank version, the correlation computed on the ordering of the ten images rather than on their values, which one unusual image cannot drag around. The descriptive association between a text measure and the rating beside it is also fitted with the flag split by polarity, so that a topic asserted is not averaged together with the same topic denied. And the leakage placebo, the matched random-removal comparison described under the belief audit below, is reported beside the exclusion refit as the reference that says how far that refit would move for arithmetic reasons alone.</w:t>
      </w:r>
    </w:p>
    <w:p>
      <w:pPr>
        <w:pStyle w:val="BodyText"/>
      </w:pPr>
      <w:r>
        <w:rPr>
          <w:b/>
          <w:bCs/>
        </w:rPr>
        <w:t xml:space="preserve">Two checks run in every study.</w:t>
      </w:r>
      <w:r>
        <w:t xml:space="preserve"> </w:t>
      </w:r>
      <w:r>
        <w:t xml:space="preserve">Two further quantities are computed from the explanations, and both are fixed here so that they are computed the same way in every study. The first check asks how closely the words alone track the rating, and how well they tell the two conditions apart. Its purpose is to state how far the justifications carry the rating. Words written after a rating can track it without having produced it, which is one reason no text measure in this project is read as mechanism. The measurement is a word-count table, produced on the same blind as the flags. Each response is split into content words, meaning lower-case words made of letters and apostrophes that are not on the deposited function-word list, by the same tokeniser the rules use. Words appearing in only one response are dropped, and the table records, for every response and every remaining word, how many times the word appears, beside the participant, image and dimension identifiers and nothing else. It carries no condition, no rating and no response text, and a companion table lists each word with the number of responses it appears in. The inference runs in the step that joins condition and rating back. For each dimension the rating is predicted from the word counts by ridge regression, a linear regression that shrinks every coefficient toward zero by a penalty whose strength is chosen by cross-validation inside the training data, so that a vocabulary larger than the number of responses can be fitted without the model memorising them. The fit is judged by tenfold cross-validation grouped by participant: the participants are divided into ten groups, the model is fitted on nine and predicts the tenth, each group in turn, so that every prediction is made for a person the model never saw and no participant sits on both sides of any fold. The vocabulary is built inside each training fold. A word becomes a predictor only if it appears in at least five of the responses the model is fitted on, so the held-out participants have no say in which words the model uses. The quantity reported is the correlation between the held-out predictions and the observed ratings, with a 95 percent interval from two thousand resamples of participants drawn over the held-out predictions. Beside it sits a restricted permutation null. Each participant’s ten ratings on the dimension are shuffled among that participant’s own ten explanations, so every person keeps their own ratings and their own average, and only the pairing of rating with image is scrambled. The whole procedure is repeated on each of two hundred shuffled sets, and the 95th percentile of the shuffled correlations is the bar the observed one has to clear. The target is therefore whether the words carry which of a person’s images received the higher ratings, beyond that person’s overall level.</w:t>
      </w:r>
    </w:p>
    <w:p>
      <w:pPr>
        <w:pStyle w:val="BodyText"/>
      </w:pPr>
      <w:r>
        <w:t xml:space="preserve">The condition is treated the same way. A ridge logistic regression, the same penalised model for a true-or-false outcome, predicts the arm from the word counts with the same participant-grouped folds. The quantity reported is the area under the receiver operating characteristic curve (AUC), the probability that a randomly chosen response from the machine arm receives a higher predicted score than a randomly chosen response from the human arm, for which one half is chance. Its permutation null shuffles the arm label across participants rather than across responses, because the arm is a property of the participant, again two hundred times. Two further models of the arm use the rating, and both are scored on the same folds and the same held-out participants: a logistic regression on the rating alone, and a ridge logistic regression on the rating and the word counts together, with the rating left unpenalised so that only the words are shrunk. The difference between their AUCs is the incremental AUC, the amount the words add to the rating in telling the arms apart. Its 95 percent interval comes from resampling participants over the paired held-out predictions. The AUC of the words alone and the AUC of the rating alone are descriptive references. The gap between them is not the incremental AUC, since two predictors can score alike and still carry different information. The deposited table carries one row for each dimension, target and predictor set (rating from words, arm from words, arm from rating, arm from rating and words, and the incremental AUC). Each row holds the estimate, its interval, the null’s 95th percentile where the row has a null, the numbers of permutations, folds and words used, and the seed, which is fixed in the deposited code; the reading is stated in words. There is no predicted value. Recovery is read as present where the estimate lies above the null’s 95th percentile with an interval clear of the chance value. Otherwise the check has not shown recovery, which is not evidence that the words carry nothing. The incremental AUC has no permutation null. An interval wholly above zero says the words add to the rating, one wholly below zero says the model with the words does worse on the held-out participants than the rating alone, and one that includes zero is inconclusive.</w:t>
      </w:r>
    </w:p>
    <w:p>
      <w:pPr>
        <w:pStyle w:val="BodyText"/>
      </w:pPr>
      <w:r>
        <w:t xml:space="preserve">The second check is the text version of H4. It asks whether participants told a machine made the works reuse their own words across the ten images more than participants told a person made them, and we predict that they do, on both dimensions: a person applying one rule to whatever is shown writes that rule down ten times. The measurement step writes, blind, each response’s set of distinct content words beside its identifiers. The overlaps are computed from that table in the step that joins condition back, because the baseline described below depends on which other participants are in the sample. For each participant and dimension the self overlap is the mean Jaccard overlap across that participant’s ten explanations, taken over the forty-five pairs they form. The Jaccard overlap of two explanations is the number of content words they share divided by the number of content words found in either, so that two identical explanations score one and two with no word in common score zero. The stranger overlap is, for each of the participant’s ten explanations, the mean Jaccard overlap with the explanations every other participant wrote for the same image and dimension, averaged over the ten images. It removes the overlap that comes from writing about the same picture, and it is drawn from other participants of both arms. The difference between self overlap and stranger overlap is compared between arms by a linear model, fitted per dimension, with the mean number of distinct content words per explanation as a covariate, because the overlap statistic falls as texts grow longer and length must be held constant. The arm coefficient, machine arm minus human arm at equal length, is the registered quantity. Its 95 percent interval comes from two thousand resamples of participants drawn within each arm. In every resample the stranger overlap is rebuilt from the participants drawn into it, so the interval carries the uncertainty of the reference group as well as that of the people compared. The</w:t>
      </w:r>
      <w:r>
        <w:t xml:space="preserve"> </w:t>
      </w:r>
      <w:r>
        <w:rPr>
          <w:i/>
          <w:iCs/>
        </w:rPr>
        <w:t xml:space="preserve">p</w:t>
      </w:r>
      <w:r>
        <w:t xml:space="preserve">-value for each dimension is twice the share of resampled coefficients on the far side of zero, with one added to that count and to the number of resamples, and capped at one. The two dimensions are corrected together by the Holm procedure of section 7, as a family of two. Each dimension then takes one of three readings: supported, when the Holm-corrected</w:t>
      </w:r>
      <w:r>
        <w:t xml:space="preserve"> </w:t>
      </w:r>
      <w:r>
        <w:rPr>
          <w:i/>
          <w:iCs/>
        </w:rPr>
        <w:t xml:space="preserve">p</w:t>
      </w:r>
      <w:r>
        <w:t xml:space="preserve"> </w:t>
      </w:r>
      <w:r>
        <w:t xml:space="preserve">falls below .05 with the machine arm higher; opposite direction, when it falls below .05 with the machine arm lower; and inconclusive otherwise. An inconclusive reading includes every interval that contains zero, and it is not evidence that the arms reuse their words equally. The self overlap, stranger overlap and length by arm are reported beside the difference as description, and the reading is stated in words.</w:t>
      </w:r>
    </w:p>
    <w:p>
      <w:pPr>
        <w:pStyle w:val="BodyText"/>
      </w:pPr>
      <w:r>
        <w:t xml:space="preserve">Neither check is a prediction in section 5. The first is registered as a descriptive quantity and belongs to no correction family. The second is a registered directional test whose two dimensions form a family of two, corrected by Holm as above, and it is added neither to the confirmatory family of section 7 nor to the exploratory family above. Both run unchanged, in the form given here, in every study where the rating exists, and each result is reported wherever it falls, a null included.</w:t>
      </w:r>
    </w:p>
    <w:p>
      <w:pPr>
        <w:pStyle w:val="BodyText"/>
      </w:pPr>
      <w:r>
        <w:t xml:space="preserve">One disclosure belongs beside them. The recoverability of the rating from the text was computed during earlier exploratory work on Study 1 by a different method, so for Study 1 that quantity is reported as one already partly known rather than as a prediction. That earlier work also tried a version of the overlap check built on sentence embeddings, lists of numbers that a pretrained model assigns to each sentence, and that version is not registered. The word-overlap version had not been run when it was first registered, on 7 September 2026. It was run later that month, and its test, its correction and its three readings were settled in October 2026, after those estimates had been read. A reader is entitled to weigh both checks accordingly, as section 8 says of the other decisions taken with the estimates in view.</w:t>
      </w:r>
    </w:p>
    <w:p>
      <w:pPr>
        <w:pStyle w:val="BodyText"/>
      </w:pPr>
      <w:r>
        <w:rPr>
          <w:b/>
          <w:bCs/>
        </w:rPr>
        <w:t xml:space="preserve">A general description of the text, run in every study.</w:t>
      </w:r>
      <w:r>
        <w:t xml:space="preserve"> </w:t>
      </w:r>
      <w:r>
        <w:t xml:space="preserve">Beside the rules and the two checks, the explanations are described in three ways that depend on no rule written for this study, so that the same description can be computed unchanged in every study. All of it is exploratory. It carries no prediction and no verdict, it enters neither family above, and its</w:t>
      </w:r>
      <w:r>
        <w:t xml:space="preserve"> </w:t>
      </w:r>
      <w:r>
        <w:rPr>
          <w:i/>
          <w:iCs/>
        </w:rPr>
        <w:t xml:space="preserve">p</w:t>
      </w:r>
      <w:r>
        <w:t xml:space="preserve">-values are corrected by the Benjamini-Hochberg procedure within each block only so that a long table is not misread. Every input is computed on the same blind as the flags.</w:t>
      </w:r>
    </w:p>
    <w:p>
      <w:pPr>
        <w:pStyle w:val="BodyText"/>
      </w:pPr>
      <w:r>
        <w:t xml:space="preserve">The first is the tone and concreteness of the words, scored against published word norms, the average ratings that large samples of people gave single English words. Warriner, Kuperman and Brysbaert (2013) supply valence (how pleasant a word is), arousal (how calm or excited it makes a reader) and dominance (how much in control it makes a reader feel), each from 1 to 9. Brysbaert, Warriner and Kuperman (2014) supply concreteness, from 1 for a word known only through other words to 5 for a word known through the senses. A response’s score is the mean over its content words found in the norm, with the task’s own words removed first. Each score is modelled on the arm, the rating centred on its mean, and their interaction, with random intercepts for participant and image, so that an arm difference in tone is not the rating difference over again.</w:t>
      </w:r>
    </w:p>
    <w:p>
      <w:pPr>
        <w:pStyle w:val="BodyText"/>
      </w:pPr>
      <w:r>
        <w:t xml:space="preserve">The second is what the explanations talk about, from a topic model, a method that finds groups of words that tend to occur in the same responses and describes each response as a mix of those groups. The model is non-negative matrix factorisation, fitted separately to each dimension. The number of topics is set by a stability rule written into the code: of the numbers from three to ten, the one whose topics come back most alike when the model is refitted on random 80 percent subsets of the participants. Each topic’s weight is modelled on the arm and the centred rating, and the arm term is tested against two hundred shuffles of the arm label across participants. As a check on that grouping, a pretrained sentence-embedding model, run on the local machine, turns each explanation into a list of numbers without labelling it or writing anything, and the agreement between groups formed from those numbers and the topics is reported.</w:t>
      </w:r>
    </w:p>
    <w:p>
      <w:pPr>
        <w:pStyle w:val="BodyText"/>
      </w:pPr>
      <w:r>
        <w:t xml:space="preserve">The third is which words a prediction leans on. A lasso, a penalised regression whose penalty sets most word weights to exactly zero, predicts the arm from the word counts, with the rating held in the model and left unpenalised, and separately predicts the rating. Its penalty is chosen on the participant-grouped folds of the first check. The words that keep a weight are reported with their signs, and a word left out may still go with the outcome, because among words that move together the lasso tends to keep one. None of the three descriptions is mechanism, for the reason given below: every explanation was written after its rating.</w:t>
      </w:r>
    </w:p>
    <w:p>
      <w:pPr>
        <w:pStyle w:val="BodyText"/>
      </w:pPr>
      <w:r>
        <w:rPr>
          <w:b/>
          <w:bCs/>
        </w:rPr>
        <w:t xml:space="preserve">How the measures work.</w:t>
      </w:r>
      <w:r>
        <w:t xml:space="preserve"> </w:t>
      </w:r>
      <w:r>
        <w:t xml:space="preserve">Each measure is a fixed search pattern, a list of words and phrases, applied identically to every response, and published in full alongside the analysis. There are eight rules. Seven record a topic or a form of wording (visible detail, time, skill, concept, prompting, prior exposure, and the echo of the scale’s own labels), and the eighth, the machine-authorship rule, is a narrow companion to the prompting rule that fires only when a response speaks of a machine making the work: a machine noun (an AI, a computer, an algorithm, a program, or an image generator named by kind or by brand) followed closely by a making verb, a making verb followed by</w:t>
      </w:r>
      <w:r>
        <w:t xml:space="preserve"> </w:t>
      </w:r>
      <w:r>
        <w:rPr>
          <w:i/>
          <w:iCs/>
        </w:rPr>
        <w:t xml:space="preserve">by</w:t>
      </w:r>
      <w:r>
        <w:t xml:space="preserve">,</w:t>
      </w:r>
      <w:r>
        <w:t xml:space="preserve"> </w:t>
      </w:r>
      <w:r>
        <w:rPr>
          <w:i/>
          <w:iCs/>
        </w:rPr>
        <w:t xml:space="preserve">with</w:t>
      </w:r>
      <w:r>
        <w:t xml:space="preserve">,</w:t>
      </w:r>
      <w:r>
        <w:t xml:space="preserve"> </w:t>
      </w:r>
      <w:r>
        <w:rPr>
          <w:i/>
          <w:iCs/>
        </w:rPr>
        <w:t xml:space="preserve">using</w:t>
      </w:r>
      <w:r>
        <w:t xml:space="preserve"> </w:t>
      </w:r>
      <w:r>
        <w:t xml:space="preserve">or</w:t>
      </w:r>
      <w:r>
        <w:t xml:space="preserve"> </w:t>
      </w:r>
      <w:r>
        <w:rPr>
          <w:i/>
          <w:iCs/>
        </w:rPr>
        <w:t xml:space="preserve">from</w:t>
      </w:r>
      <w:r>
        <w:t xml:space="preserve"> </w:t>
      </w:r>
      <w:r>
        <w:t xml:space="preserve">and a machine noun, or a compound such as</w:t>
      </w:r>
      <w:r>
        <w:t xml:space="preserve"> </w:t>
      </w:r>
      <w:r>
        <w:rPr>
          <w:i/>
          <w:iCs/>
        </w:rPr>
        <w:t xml:space="preserve">AI-generated</w:t>
      </w:r>
      <w:r>
        <w:t xml:space="preserve"> </w:t>
      </w:r>
      <w:r>
        <w:t xml:space="preserve">or</w:t>
      </w:r>
      <w:r>
        <w:t xml:space="preserve"> </w:t>
      </w:r>
      <w:r>
        <w:rPr>
          <w:i/>
          <w:iCs/>
        </w:rPr>
        <w:t xml:space="preserve">machine-made</w:t>
      </w:r>
      <w:r>
        <w:t xml:space="preserve">, with constructions in which a person is the agent using a tool, such as</w:t>
      </w:r>
      <w:r>
        <w:t xml:space="preserve"> </w:t>
      </w:r>
      <w:r>
        <w:rPr>
          <w:i/>
          <w:iCs/>
        </w:rPr>
        <w:t xml:space="preserve">Alex used an AI</w:t>
      </w:r>
      <w:r>
        <w:t xml:space="preserve">, excluded. The patterns were authored by reading the response text with condition and rating hidden, and frozen before any quantity linking them to condition or to rating was computed, with the exceptions recorded at the end of this paragraph. That is the property that protects the inference, and we state it that way rather than claim the patterns were written without seeing the corpus, which would not be true: several of the exclusions in the patterns exist precisely because a word carries a particular local sense in this corpus, and finding that out required reading the text. Researcher judgment enters once, in the writing of the rules, and is declared there rather than distributed invisibly across thousands of decisions. The measurement step never sees which condition a response came from or what rating it accompanied; condition and rating are joined back only after the patterns have run, and the join is guarded by a check that fails if either has arrived early. Four parts of the rules were settled after results had been read with condition and rating joined. The negation reading of the prior-exposure rule and the machine-authorship rule itself were settled in September 2026. The assertion reading of the machine-authorship rule and the size reading of</w:t>
      </w:r>
      <w:r>
        <w:t xml:space="preserve"> </w:t>
      </w:r>
      <w:r>
        <w:rPr>
          <w:i/>
          <w:iCs/>
        </w:rPr>
        <w:t xml:space="preserve">little</w:t>
      </w:r>
      <w:r>
        <w:t xml:space="preserve">, both described below, were settled in October 2026. The blind stated above does not cover these four, and a reader is entitled to discount them as section 8 discounts the other decisions taken with the estimates in view.</w:t>
      </w:r>
    </w:p>
    <w:p>
      <w:pPr>
        <w:pStyle w:val="BodyText"/>
      </w:pPr>
      <w:r>
        <w:t xml:space="preserve">For each rule, forty matched and twenty unmatched responses are printed with the triggering phrase marked beside the sentence it came from, drawn with a fixed seed so the same responses appear on every run; for the rules whose match is also read for polarity (whether the matched phrase was asserted or denied, described below), the matched responses are printed by polarity value, forty read as asserted and forty read as negated, so that the reading can be checked as well as the match. The two rules of the belief audit, prompting and machine authorship, are printed on the same terms as the others, and the machine-authorship matches are printed by their assertion reading. Each pattern records a topic and not an endorsement: a response saying there is barely any detail here is detail talk, because detail is what the writer is discussing. Prior-exposure talk is the exception among the topic rules, because an assertion of familiarity and its denial are genuinely different claims, so that measure takes three values rather than two. Its reading treats a negating word anywhere inside the matched phrase, as well as one in the window before it, as a denial, so that</w:t>
      </w:r>
      <w:r>
        <w:t xml:space="preserve"> </w:t>
      </w:r>
      <w:r>
        <w:rPr>
          <w:i/>
          <w:iCs/>
        </w:rPr>
        <w:t xml:space="preserve">have never seen</w:t>
      </w:r>
      <w:r>
        <w:t xml:space="preserve"> </w:t>
      </w:r>
      <w:r>
        <w:t xml:space="preserve">and</w:t>
      </w:r>
      <w:r>
        <w:t xml:space="preserve"> </w:t>
      </w:r>
      <w:r>
        <w:rPr>
          <w:i/>
          <w:iCs/>
        </w:rPr>
        <w:t xml:space="preserve">haven’t seen</w:t>
      </w:r>
      <w:r>
        <w:t xml:space="preserve"> </w:t>
      </w:r>
      <w:r>
        <w:t xml:space="preserve">are read as negated, and it reads</w:t>
      </w:r>
      <w:r>
        <w:t xml:space="preserve"> </w:t>
      </w:r>
      <w:r>
        <w:rPr>
          <w:i/>
          <w:iCs/>
        </w:rPr>
        <w:t xml:space="preserve">nothing new</w:t>
      </w:r>
      <w:r>
        <w:t xml:space="preserve"> </w:t>
      </w:r>
      <w:r>
        <w:t xml:space="preserve">and</w:t>
      </w:r>
      <w:r>
        <w:t xml:space="preserve"> </w:t>
      </w:r>
      <w:r>
        <w:rPr>
          <w:i/>
          <w:iCs/>
        </w:rPr>
        <w:t xml:space="preserve">not new</w:t>
      </w:r>
      <w:r>
        <w:t xml:space="preserve"> </w:t>
      </w:r>
      <w:r>
        <w:t xml:space="preserve">as assertions, since those phrases claim familiarity rather than deny it. The machine-authorship rule fires on a mention whichever way it points, so</w:t>
      </w:r>
      <w:r>
        <w:t xml:space="preserve"> </w:t>
      </w:r>
      <w:r>
        <w:t xml:space="preserve">“this does not look AI generated”</w:t>
      </w:r>
      <w:r>
        <w:t xml:space="preserve"> </w:t>
      </w:r>
      <w:r>
        <w:t xml:space="preserve">fires it. A reading column beside it therefore records whether the claim was put forward. It reads every matched phrase in the response, because one response can deny in one sentence that a machine made the work and say in the next that one did. A phrase is read as not asserted when a negating word from the prior-exposure list sits inside it or in the window before it, defined below, or when a word that opens a supposition (</w:t>
      </w:r>
      <w:r>
        <w:rPr>
          <w:i/>
          <w:iCs/>
        </w:rPr>
        <w:t xml:space="preserve">if</w:t>
      </w:r>
      <w:r>
        <w:t xml:space="preserve">,</w:t>
      </w:r>
      <w:r>
        <w:t xml:space="preserve"> </w:t>
      </w:r>
      <w:r>
        <w:rPr>
          <w:i/>
          <w:iCs/>
        </w:rPr>
        <w:t xml:space="preserve">whether</w:t>
      </w:r>
      <w:r>
        <w:t xml:space="preserve">,</w:t>
      </w:r>
      <w:r>
        <w:t xml:space="preserve"> </w:t>
      </w:r>
      <w:r>
        <w:rPr>
          <w:i/>
          <w:iCs/>
        </w:rPr>
        <w:t xml:space="preserve">unless</w:t>
      </w:r>
      <w:r>
        <w:t xml:space="preserve">,</w:t>
      </w:r>
      <w:r>
        <w:t xml:space="preserve"> </w:t>
      </w:r>
      <w:r>
        <w:rPr>
          <w:i/>
          <w:iCs/>
        </w:rPr>
        <w:t xml:space="preserve">even if</w:t>
      </w:r>
      <w:r>
        <w:t xml:space="preserve">, though not</w:t>
      </w:r>
      <w:r>
        <w:t xml:space="preserve"> </w:t>
      </w:r>
      <w:r>
        <w:rPr>
          <w:i/>
          <w:iCs/>
        </w:rPr>
        <w:t xml:space="preserve">as if</w:t>
      </w:r>
      <w:r>
        <w:t xml:space="preserve">) sits in that window. A hedged impression such as</w:t>
      </w:r>
      <w:r>
        <w:t xml:space="preserve"> </w:t>
      </w:r>
      <w:r>
        <w:rPr>
          <w:i/>
          <w:iCs/>
        </w:rPr>
        <w:t xml:space="preserve">probably AI</w:t>
      </w:r>
      <w:r>
        <w:t xml:space="preserve"> </w:t>
      </w:r>
      <w:r>
        <w:t xml:space="preserve">or</w:t>
      </w:r>
      <w:r>
        <w:t xml:space="preserve"> </w:t>
      </w:r>
      <w:r>
        <w:rPr>
          <w:i/>
          <w:iCs/>
        </w:rPr>
        <w:t xml:space="preserve">looks AI generated</w:t>
      </w:r>
      <w:r>
        <w:t xml:space="preserve"> </w:t>
      </w:r>
      <w:r>
        <w:t xml:space="preserve">is read as asserted, because it puts the claim forward. The response is read as asserted when at least one phrase is, as not asserted when every phrase is denied or supposed, and as neither when the rule found nothing. A further pattern records whether a response contains the rating scale’s own wording, which a response can do and still go on to give a reason of its own.</w:t>
      </w:r>
    </w:p>
    <w:p>
      <w:pPr>
        <w:pStyle w:val="BodyText"/>
      </w:pPr>
      <w:r>
        <w:t xml:space="preserve">Beside each of the four topic flags (visible detail, time, skill and concept), a second reading records the polarity of the match: whether the phrase that fired the rule was asserted or negated. The reading uses the same negation window as the prior-exposure measure. A match counts as negated when a negating word sits in the thirty characters of text immediately before the matched phrase, with that window cut at the nearest clause boundary, so that a negation in the previous clause cannot reach across into this one. A clause boundary is a comma, a semicolon, a full stop, or a word such as</w:t>
      </w:r>
      <w:r>
        <w:t xml:space="preserve"> </w:t>
      </w:r>
      <w:r>
        <w:rPr>
          <w:i/>
          <w:iCs/>
        </w:rPr>
        <w:t xml:space="preserve">because</w:t>
      </w:r>
      <w:r>
        <w:t xml:space="preserve">,</w:t>
      </w:r>
      <w:r>
        <w:t xml:space="preserve"> </w:t>
      </w:r>
      <w:r>
        <w:rPr>
          <w:i/>
          <w:iCs/>
        </w:rPr>
        <w:t xml:space="preserve">but</w:t>
      </w:r>
      <w:r>
        <w:t xml:space="preserve">,</w:t>
      </w:r>
      <w:r>
        <w:t xml:space="preserve"> </w:t>
      </w:r>
      <w:r>
        <w:rPr>
          <w:i/>
          <w:iCs/>
        </w:rPr>
        <w:t xml:space="preserve">however</w:t>
      </w:r>
      <w:r>
        <w:t xml:space="preserve"> </w:t>
      </w:r>
      <w:r>
        <w:t xml:space="preserve">or</w:t>
      </w:r>
      <w:r>
        <w:t xml:space="preserve"> </w:t>
      </w:r>
      <w:r>
        <w:rPr>
          <w:i/>
          <w:iCs/>
        </w:rPr>
        <w:t xml:space="preserve">since</w:t>
      </w:r>
      <w:r>
        <w:t xml:space="preserve">. The negating words are the prior-exposure measure’s own list, deposited in full with the rules, extended for these four topics with the quantity words that deny an amount rather than a fact (</w:t>
      </w:r>
      <w:r>
        <w:rPr>
          <w:i/>
          <w:iCs/>
        </w:rPr>
        <w:t xml:space="preserve">little</w:t>
      </w:r>
      <w:r>
        <w:t xml:space="preserve">,</w:t>
      </w:r>
      <w:r>
        <w:t xml:space="preserve"> </w:t>
      </w:r>
      <w:r>
        <w:rPr>
          <w:i/>
          <w:iCs/>
        </w:rPr>
        <w:t xml:space="preserve">not much</w:t>
      </w:r>
      <w:r>
        <w:t xml:space="preserve">,</w:t>
      </w:r>
      <w:r>
        <w:t xml:space="preserve"> </w:t>
      </w:r>
      <w:r>
        <w:rPr>
          <w:i/>
          <w:iCs/>
        </w:rPr>
        <w:t xml:space="preserve">lack</w:t>
      </w:r>
      <w:r>
        <w:t xml:space="preserve">,</w:t>
      </w:r>
      <w:r>
        <w:t xml:space="preserve"> </w:t>
      </w:r>
      <w:r>
        <w:rPr>
          <w:i/>
          <w:iCs/>
        </w:rPr>
        <w:t xml:space="preserve">lacking</w:t>
      </w:r>
      <w:r>
        <w:t xml:space="preserve">,</w:t>
      </w:r>
      <w:r>
        <w:t xml:space="preserve"> </w:t>
      </w:r>
      <w:r>
        <w:rPr>
          <w:i/>
          <w:iCs/>
        </w:rPr>
        <w:t xml:space="preserve">lacks</w:t>
      </w:r>
      <w:r>
        <w:t xml:space="preserve">,</w:t>
      </w:r>
      <w:r>
        <w:t xml:space="preserve"> </w:t>
      </w:r>
      <w:r>
        <w:rPr>
          <w:i/>
          <w:iCs/>
        </w:rPr>
        <w:t xml:space="preserve">minimal</w:t>
      </w:r>
      <w:r>
        <w:t xml:space="preserve">,</w:t>
      </w:r>
      <w:r>
        <w:t xml:space="preserve"> </w:t>
      </w:r>
      <w:r>
        <w:rPr>
          <w:i/>
          <w:iCs/>
        </w:rPr>
        <w:t xml:space="preserve">barely</w:t>
      </w:r>
      <w:r>
        <w:t xml:space="preserve">,</w:t>
      </w:r>
      <w:r>
        <w:t xml:space="preserve"> </w:t>
      </w:r>
      <w:r>
        <w:rPr>
          <w:i/>
          <w:iCs/>
        </w:rPr>
        <w:t xml:space="preserve">hardly</w:t>
      </w:r>
      <w:r>
        <w:t xml:space="preserve">,</w:t>
      </w:r>
      <w:r>
        <w:t xml:space="preserve"> </w:t>
      </w:r>
      <w:r>
        <w:rPr>
          <w:i/>
          <w:iCs/>
        </w:rPr>
        <w:t xml:space="preserve">without</w:t>
      </w:r>
      <w:r>
        <w:t xml:space="preserve">,</w:t>
      </w:r>
      <w:r>
        <w:t xml:space="preserve"> </w:t>
      </w:r>
      <w:r>
        <w:rPr>
          <w:i/>
          <w:iCs/>
        </w:rPr>
        <w:t xml:space="preserve">low</w:t>
      </w:r>
      <w:r>
        <w:t xml:space="preserve">,</w:t>
      </w:r>
      <w:r>
        <w:t xml:space="preserve"> </w:t>
      </w:r>
      <w:r>
        <w:rPr>
          <w:i/>
          <w:iCs/>
        </w:rPr>
        <w:t xml:space="preserve">not a lot</w:t>
      </w:r>
      <w:r>
        <w:t xml:space="preserve"> </w:t>
      </w:r>
      <w:r>
        <w:t xml:space="preserve">and</w:t>
      </w:r>
      <w:r>
        <w:t xml:space="preserve"> </w:t>
      </w:r>
      <w:r>
        <w:rPr>
          <w:i/>
          <w:iCs/>
        </w:rPr>
        <w:t xml:space="preserve">not many</w:t>
      </w:r>
      <w:r>
        <w:t xml:space="preserve">), because</w:t>
      </w:r>
      <w:r>
        <w:t xml:space="preserve"> </w:t>
      </w:r>
      <w:r>
        <w:rPr>
          <w:i/>
          <w:iCs/>
        </w:rPr>
        <w:t xml:space="preserve">little detail</w:t>
      </w:r>
      <w:r>
        <w:t xml:space="preserve"> </w:t>
      </w:r>
      <w:r>
        <w:t xml:space="preserve">denies detail as plainly as</w:t>
      </w:r>
      <w:r>
        <w:t xml:space="preserve"> </w:t>
      </w:r>
      <w:r>
        <w:rPr>
          <w:i/>
          <w:iCs/>
        </w:rPr>
        <w:t xml:space="preserve">no detail</w:t>
      </w:r>
      <w:r>
        <w:t xml:space="preserve"> </w:t>
      </w:r>
      <w:r>
        <w:t xml:space="preserve">does.</w:t>
      </w:r>
      <w:r>
        <w:t xml:space="preserve"> </w:t>
      </w:r>
      <w:r>
        <w:rPr>
          <w:i/>
          <w:iCs/>
        </w:rPr>
        <w:t xml:space="preserve">Little</w:t>
      </w:r>
      <w:r>
        <w:t xml:space="preserve"> </w:t>
      </w:r>
      <w:r>
        <w:t xml:space="preserve">is read that way only where it names an amount. Where it names a size, as in</w:t>
      </w:r>
      <w:r>
        <w:t xml:space="preserve"> </w:t>
      </w:r>
      <w:r>
        <w:rPr>
          <w:i/>
          <w:iCs/>
        </w:rPr>
        <w:t xml:space="preserve">a little</w:t>
      </w:r>
      <w:r>
        <w:t xml:space="preserve">,</w:t>
      </w:r>
      <w:r>
        <w:t xml:space="preserve"> </w:t>
      </w:r>
      <w:r>
        <w:rPr>
          <w:i/>
          <w:iCs/>
        </w:rPr>
        <w:t xml:space="preserve">the little details</w:t>
      </w:r>
      <w:r>
        <w:t xml:space="preserve"> </w:t>
      </w:r>
      <w:r>
        <w:t xml:space="preserve">or</w:t>
      </w:r>
      <w:r>
        <w:t xml:space="preserve"> </w:t>
      </w:r>
      <w:r>
        <w:rPr>
          <w:i/>
          <w:iCs/>
        </w:rPr>
        <w:t xml:space="preserve">many small little parts</w:t>
      </w:r>
      <w:r>
        <w:t xml:space="preserve">, it denies nothing, so it is not read as a denial when the word before it is</w:t>
      </w:r>
      <w:r>
        <w:t xml:space="preserve"> </w:t>
      </w:r>
      <w:r>
        <w:rPr>
          <w:i/>
          <w:iCs/>
        </w:rPr>
        <w:t xml:space="preserve">a</w:t>
      </w:r>
      <w:r>
        <w:t xml:space="preserve">,</w:t>
      </w:r>
      <w:r>
        <w:t xml:space="preserve"> </w:t>
      </w:r>
      <w:r>
        <w:rPr>
          <w:i/>
          <w:iCs/>
        </w:rPr>
        <w:t xml:space="preserve">the</w:t>
      </w:r>
      <w:r>
        <w:t xml:space="preserve">,</w:t>
      </w:r>
      <w:r>
        <w:t xml:space="preserve"> </w:t>
      </w:r>
      <w:r>
        <w:rPr>
          <w:i/>
          <w:iCs/>
        </w:rPr>
        <w:t xml:space="preserve">some</w:t>
      </w:r>
      <w:r>
        <w:t xml:space="preserve"> </w:t>
      </w:r>
      <w:r>
        <w:t xml:space="preserve">or</w:t>
      </w:r>
      <w:r>
        <w:t xml:space="preserve"> </w:t>
      </w:r>
      <w:r>
        <w:rPr>
          <w:i/>
          <w:iCs/>
        </w:rPr>
        <w:t xml:space="preserve">such</w:t>
      </w:r>
      <w:r>
        <w:t xml:space="preserve">, or a word for an amount or a size (</w:t>
      </w:r>
      <w:r>
        <w:rPr>
          <w:i/>
          <w:iCs/>
        </w:rPr>
        <w:t xml:space="preserve">many</w:t>
      </w:r>
      <w:r>
        <w:t xml:space="preserve">,</w:t>
      </w:r>
      <w:r>
        <w:t xml:space="preserve"> </w:t>
      </w:r>
      <w:r>
        <w:rPr>
          <w:i/>
          <w:iCs/>
        </w:rPr>
        <w:t xml:space="preserve">so many</w:t>
      </w:r>
      <w:r>
        <w:t xml:space="preserve">,</w:t>
      </w:r>
      <w:r>
        <w:t xml:space="preserve"> </w:t>
      </w:r>
      <w:r>
        <w:rPr>
          <w:i/>
          <w:iCs/>
        </w:rPr>
        <w:t xml:space="preserve">a lot of</w:t>
      </w:r>
      <w:r>
        <w:t xml:space="preserve">,</w:t>
      </w:r>
      <w:r>
        <w:t xml:space="preserve"> </w:t>
      </w:r>
      <w:r>
        <w:rPr>
          <w:i/>
          <w:iCs/>
        </w:rPr>
        <w:t xml:space="preserve">lots of</w:t>
      </w:r>
      <w:r>
        <w:t xml:space="preserve">,</w:t>
      </w:r>
      <w:r>
        <w:t xml:space="preserve"> </w:t>
      </w:r>
      <w:r>
        <w:rPr>
          <w:i/>
          <w:iCs/>
        </w:rPr>
        <w:t xml:space="preserve">all the</w:t>
      </w:r>
      <w:r>
        <w:t xml:space="preserve">,</w:t>
      </w:r>
      <w:r>
        <w:t xml:space="preserve"> </w:t>
      </w:r>
      <w:r>
        <w:rPr>
          <w:i/>
          <w:iCs/>
        </w:rPr>
        <w:t xml:space="preserve">small</w:t>
      </w:r>
      <w:r>
        <w:t xml:space="preserve">,</w:t>
      </w:r>
      <w:r>
        <w:t xml:space="preserve"> </w:t>
      </w:r>
      <w:r>
        <w:rPr>
          <w:i/>
          <w:iCs/>
        </w:rPr>
        <w:t xml:space="preserve">tiny</w:t>
      </w:r>
      <w:r>
        <w:t xml:space="preserve">). A match whose phrase itself begins with a negating or quantity word is also read as negated, since</w:t>
      </w:r>
      <w:r>
        <w:t xml:space="preserve"> </w:t>
      </w:r>
      <w:r>
        <w:rPr>
          <w:i/>
          <w:iCs/>
        </w:rPr>
        <w:t xml:space="preserve">no thought</w:t>
      </w:r>
      <w:r>
        <w:t xml:space="preserve"> </w:t>
      </w:r>
      <w:r>
        <w:t xml:space="preserve">and</w:t>
      </w:r>
      <w:r>
        <w:t xml:space="preserve"> </w:t>
      </w:r>
      <w:r>
        <w:rPr>
          <w:i/>
          <w:iCs/>
        </w:rPr>
        <w:t xml:space="preserve">little thought</w:t>
      </w:r>
      <w:r>
        <w:t xml:space="preserve"> </w:t>
      </w:r>
      <w:r>
        <w:t xml:space="preserve">are matched whole by the concept rule and carry their denial inside the phrase rather than in front of it. A match with no such word in its window or at its head is read as asserted. The polarity reading takes one of three values (asserted, negated, or neither, the last exactly when the topic flag is false), and it leaves the topic flag as it was: a response saying there is barely any detail here is still detail talk, and is additionally recorded as detail talk negated. The four polarity readings are deposited in the same file as the flags, and the file still carries no condition and no rating. Polarity enters no registered test: the five tests are run on the topic flags alone. It is reported descriptively, in two places. The first is the share of flagged mentions that were denied, tabulated for each topic. The second is the descriptive association between a text measure and the rating beside it, where the flag is split into asserted and denied so that a topic asserted is not averaged together with the same topic denied.</w:t>
      </w:r>
    </w:p>
    <w:p>
      <w:pPr>
        <w:pStyle w:val="BodyText"/>
      </w:pPr>
      <w:r>
        <w:rPr>
          <w:b/>
          <w:bCs/>
        </w:rPr>
        <w:t xml:space="preserve">What each measure is grounded in.</w:t>
      </w:r>
      <w:r>
        <w:t xml:space="preserve"> </w:t>
      </w:r>
      <w:r>
        <w:t xml:space="preserve">A rule is a list of words, and a list of words is a measure of something only if the something is named. Each of the eight rules is therefore tied to a construct, meaning the thing in the literature the rule is meant to measure, and the paragraphs below state for each rule what that construct is, where it stands in relation to the legal question, and what the rule cannot tell. The same notes are deposited in shorter form beside the word lists themselves.</w:t>
      </w:r>
    </w:p>
    <w:p>
      <w:pPr>
        <w:pStyle w:val="BodyText"/>
      </w:pPr>
      <w:r>
        <w:t xml:space="preserve">The visible-detail rule measures whether an explanation names the surface of the picture: how much is in it, how finely it is rendered, how the marks were laid down. The construct is the visible-work cue: a viewer cannot observe labour directly and so infers it from the traces of work that can be seen, and Buell and Norton (2011) call the value people add to an identical result when they can see work being done on it the labour illusion. Kruger, Wirtz, Van Boven and Altermatt (2004) show that judged quality follows believed effort most strongly when quality is otherwise hard to assess, which a picture from an unfamiliar maker is, and Chinander and Schweitzer (2003) show that a measure of what went into a piece of work colours the judgment of what came out even when it should not. This is the right reading for the legal question because an effort rating built on this cue is a judgment about what is on the canvas, and</w:t>
      </w:r>
      <w:r>
        <w:t xml:space="preserve"> </w:t>
      </w:r>
      <w:r>
        <w:rPr>
          <w:i/>
          <w:iCs/>
        </w:rPr>
        <w:t xml:space="preserve">Feist</w:t>
      </w:r>
      <w:r>
        <w:t xml:space="preserve"> </w:t>
      </w:r>
      <w:r>
        <w:t xml:space="preserve">asks whether a work reflects a creative choice and does not ask how much work it took to put there, so a rating that tracks visible labour is tracking the ground of protection the standard set aside. The rule cannot tell a writer who admired the detail from one who merely noticed it (the polarity reading beside the flag, which records whether the phrase was claimed or denied, goes only that far), cannot see detail that a writer took in but did not name, and cannot say whether the detail they named was what moved their rating, since the writing followed the rating.</w:t>
      </w:r>
    </w:p>
    <w:p>
      <w:pPr>
        <w:pStyle w:val="BodyText"/>
      </w:pPr>
      <w:r>
        <w:t xml:space="preserve">The time rule measures whether an explanation speaks of duration or industriousness: hours, days, how long the work took, how quickly it could be done, how tedious it was. The construct is time as a proxy for labour, which is the cue Kruger, Wirtz, Van Boven and Altermatt (2004) manipulated to show the effort heuristic, a rule of thumb by which people judge a work to be better and worth more when told it took longer to make. Chinander and Schweitzer (2003) describe the broader pattern as input bias, the tendency to let a measure of what went in, such as time spent, shape a judgment of what came out, even where the input has no bearing on the outcome. This is the reading of effort that maps most directly onto sweat of the brow, the labour-based claim to protection that</w:t>
      </w:r>
      <w:r>
        <w:t xml:space="preserve"> </w:t>
      </w:r>
      <w:r>
        <w:rPr>
          <w:i/>
          <w:iCs/>
        </w:rPr>
        <w:t xml:space="preserve">Feist</w:t>
      </w:r>
      <w:r>
        <w:t xml:space="preserve"> </w:t>
      </w:r>
      <w:r>
        <w:t xml:space="preserve">rejected, which is why a comparison of visible detail against time is one of the registered tests for the effort question: if time dominates, the mapping of the effort rating onto the rejected standard is the stronger one. Speed words are included because a claim that something took seconds is a claim about duration with the sign reversed, and the exclusions keep descriptions of the hourglass and the Christmas scene that appear in the pictures out of the count. The rule cannot recover an estimate of duration from a writer who implied one without naming it, and it cannot tell whether a writer who mentioned time thought the time was well spent.</w:t>
      </w:r>
    </w:p>
    <w:p>
      <w:pPr>
        <w:pStyle w:val="BodyText"/>
      </w:pPr>
      <w:r>
        <w:t xml:space="preserve">The skill rule measures whether an explanation attributes the work to ability: skill, craft, technique, talent, training, mastery, or the claim that it was done by hand. The construct is technical competence in a domain, which the creativity literature treats as a separate thing from creativity itself. Amabile’s componential model (1983, 1996), a framework listing the ingredients creative work requires, names domain-relevant skills (technical skill and craft knowledge in a field) as one ingredient and keeps them distinct from the creativity-relevant skills that make a work new; her consensual assessment technique (1982), a method in which judges familiar with a domain rate products on their own understanding of the terms, asks for creativity and technical goodness as separate ratings and finds them related but not interchangeable. This matters for the legal question because skill is the reading of effort that is neither the labour</w:t>
      </w:r>
      <w:r>
        <w:t xml:space="preserve"> </w:t>
      </w:r>
      <w:r>
        <w:rPr>
          <w:i/>
          <w:iCs/>
        </w:rPr>
        <w:t xml:space="preserve">Feist</w:t>
      </w:r>
      <w:r>
        <w:t xml:space="preserve"> </w:t>
      </w:r>
      <w:r>
        <w:t xml:space="preserve">set aside nor the creative spark it kept: if effort talk turns out to be chiefly skill talk, the effort rating is a judgment of the maker’s competence, and the mapping of that rating onto sweat of the brow has to be argued rather than assumed. The rule cannot tell praise of skill from a denial of it without the polarity reading beside it (which records whether the matched phrase was claimed or denied), cannot see skill a writer inferred but described in other words, and cannot separate a claim about the maker’s ability from a claim about how hard the task was.</w:t>
      </w:r>
    </w:p>
    <w:p>
      <w:pPr>
        <w:pStyle w:val="BodyText"/>
      </w:pPr>
      <w:r>
        <w:t xml:space="preserve">The concept rule measures whether an explanation speaks of what the work is about rather than what it looks like: the idea, meaning, message, story, symbolism, or thought behind it. The construct is the lay implicit theory of creativity, which means what ordinary people take the word to consist of when nobody supplies a definition. Sternberg (1985) found that laypeople’s picture of a creative person turns on unconventional thinking, imagination and aesthetic sense, which he found absent from their picture of intelligence, and Runco and Bahleda (1986) found that this picture differs across artistic, scientific and everyday creativity, so the artistic version has a profile of its own; Leder, Belke, Oeberst and Augustin (2004) place interpretation, the viewer’s attempt to make sense of what a work is about, among the stages of taking in a work of art, which is why words for meaning and story sit beside words for the idea. This is the right reading for the legal question because the minimal creativity</w:t>
      </w:r>
      <w:r>
        <w:t xml:space="preserve"> </w:t>
      </w:r>
      <w:r>
        <w:rPr>
          <w:i/>
          <w:iCs/>
        </w:rPr>
        <w:t xml:space="preserve">Feist</w:t>
      </w:r>
      <w:r>
        <w:t xml:space="preserve"> </w:t>
      </w:r>
      <w:r>
        <w:t xml:space="preserve">requires is a matter of the choices an author made rather than of the labour spent on the surface, and an explanation that reaches for the idea behind a work is applying a criterion of that kind; if creativity talk is concept talk while effort talk is detail talk, the two ratings are about two different objects, which is what the registered comparison of concept against execution tests. The rule cannot tell a writer who found an idea from one who looked for one and found nothing, does not count</w:t>
      </w:r>
      <w:r>
        <w:t xml:space="preserve"> </w:t>
      </w:r>
      <w:r>
        <w:rPr>
          <w:i/>
          <w:iCs/>
        </w:rPr>
        <w:t xml:space="preserve">imaginative</w:t>
      </w:r>
      <w:r>
        <w:t xml:space="preserve"> </w:t>
      </w:r>
      <w:r>
        <w:t xml:space="preserve">or</w:t>
      </w:r>
      <w:r>
        <w:t xml:space="preserve"> </w:t>
      </w:r>
      <w:r>
        <w:rPr>
          <w:i/>
          <w:iCs/>
        </w:rPr>
        <w:t xml:space="preserve">creative</w:t>
      </w:r>
      <w:r>
        <w:t xml:space="preserve"> </w:t>
      </w:r>
      <w:r>
        <w:t xml:space="preserve">as concept talk because those words restate the rating rather than explain it, and cannot count a thought the writer left unwritten.</w:t>
      </w:r>
    </w:p>
    <w:p>
      <w:pPr>
        <w:pStyle w:val="BodyText"/>
      </w:pPr>
      <w:r>
        <w:t xml:space="preserve">The prompting rule measures whether an explanation mentions operating a machine to make the picture: prompting, typing, generating, or a program or image generator named by kind or by brand. In the arm told a person made the work it serves as the broad count of the belief audit, the number of participants whose writing mentions a machine at all, and the written explanations are the only audit available because the instrument carries no manipulation check, meaning no question that asks directly whether the participant registered and accepted what they were told. That omission has a rationale in the methods literature: a check placed inside a study is not only a measure but an intervention, since it can alter what the participant does next (Hauser, Ellsworth and Gonzalez 2018), its reactivity is rarely examined where it is used (Ejelöv and Luke 2020), and a question asking whether a cover story was believed is itself a demand characteristic, Orne’s (1962) term for a cue that tells a participant what the study is really about. Doubt about the cover story is plausible here rather than fanciful, because Chamberlain, Mullin, Scheerlinck and Wagemans (2018) found that viewers could not tell computer-generated pictures from hand-made ones and still rated pictures lower when told a computer made them. In the arm told a machine made the work the same words are plain description, and there the rule reads as a measure of what those participants understood the effort question to be about, which is the fifth registered test. The rule counts machine words of every kind, so some of what it finds in the human arm describes a digital tool rather than machine authorship; the machine-authorship rule beside it is what separates the two, by pattern and not by a reader. A participant who was suspicious but wrote nothing about it is invisible to both rules, and a participant who mentioned a machine may still have accepted the vignette, so neither count measures disbelief.</w:t>
      </w:r>
    </w:p>
    <w:p>
      <w:pPr>
        <w:pStyle w:val="BodyText"/>
      </w:pPr>
      <w:r>
        <w:t xml:space="preserve">The machine-authorship rule records whether an explanation speaks of a machine making the work, as distinct from mentioning a machine at all: a machine noun joined to a making verb, a making verb attributed to a machine, or a compound such as</w:t>
      </w:r>
      <w:r>
        <w:t xml:space="preserve"> </w:t>
      </w:r>
      <w:r>
        <w:rPr>
          <w:i/>
          <w:iCs/>
        </w:rPr>
        <w:t xml:space="preserve">AI-generated</w:t>
      </w:r>
      <w:r>
        <w:t xml:space="preserve">, with sentences in which a person is described as using a tool excluded. Its assertion reading, described above, records whether that claim was put forward rather than denied or supposed. The construct is attributed authorship, the question of who the writer takes to have made the picture, which is the question the human-authorship rule of section 2 turns on: the Copyright Office and</w:t>
      </w:r>
      <w:r>
        <w:t xml:space="preserve"> </w:t>
      </w:r>
      <w:r>
        <w:rPr>
          <w:i/>
          <w:iCs/>
        </w:rPr>
        <w:t xml:space="preserve">Thaler</w:t>
      </w:r>
      <w:r>
        <w:t xml:space="preserve"> </w:t>
      </w:r>
      <w:r>
        <w:t xml:space="preserve">withhold protection from expression a machine generated, and a viewer who writes that a machine made the work is assigning it to exactly the category doctrine excludes. In the human arm the rule, read for assertion, gives the narrow count of the belief audit: the number of participants with at least one explanation stating that the work is or looks machine-made. That set is the one on which the sensitivity refit and the matched comparison are run. In the machine arm the rule records how many participants wrote of the machine, rather than the person who operated it, as the maker. The rule cannot see a doubt a writer held but did not state. It reads a hedged impression (</w:t>
      </w:r>
      <w:r>
        <w:rPr>
          <w:i/>
          <w:iCs/>
        </w:rPr>
        <w:t xml:space="preserve">probably AI</w:t>
      </w:r>
      <w:r>
        <w:t xml:space="preserve">) as a statement, just as it reads a confident claim. It cannot count a claim made in a sentence form the pattern does not cover, such as</w:t>
      </w:r>
      <w:r>
        <w:t xml:space="preserve"> </w:t>
      </w:r>
      <w:r>
        <w:rPr>
          <w:i/>
          <w:iCs/>
        </w:rPr>
        <w:t xml:space="preserve">it was generated</w:t>
      </w:r>
      <w:r>
        <w:t xml:space="preserve"> </w:t>
      </w:r>
      <w:r>
        <w:t xml:space="preserve">with no maker named. Its count is a count of statements, and it does not measure disbelief.</w:t>
      </w:r>
    </w:p>
    <w:p>
      <w:pPr>
        <w:pStyle w:val="BodyText"/>
      </w:pPr>
      <w:r>
        <w:t xml:space="preserve">The prior-exposure rule measures whether an explanation calls the work familiar, already seen, generic, typical or derivative, or explicitly denies that it is, and it takes three values (asserted, denied, or neither) because an assertion of familiarity and its denial are different claims rather than one topic. The construct is familiarity as a ground of evaluation, which two strands of the aesthetics literature treat as one: mere exposure, the finding that repeated encounters with a thing raise liking for it (Zajonc 1968; Bornstein 1989), and typicality, the closeness of a thing to the usual example of its kind, which Hekkert, Snelders and van Wieringen (2003) show works alongside novelty in shaping preference while pulling against it. On the creativity side, the standard definition of creativity requires originality together with effectiveness (Runco and Jaeger 2012), and Diedrich, Benedek, Jauk and Neubauer (2015) find that judges lean more on novelty than on usefulness when rating an idea creative, so a rater who reaches for newness is applying a criterion the field itself applies. That is what makes the measure the right one for the legal question: newness to the world is a patent requirement and not a copyright one, and the rule is written to catch exactly the vocabulary in which a lay demand for newness would show. The rule cannot tell where the writer thinks they saw the work before, cannot separate a claim that the style is common from a claim that this picture copies a particular other one (which are different claims in law, since resemblance can be evidence of copying but commonness is not), and cannot say whether familiarity lowered the rating, since the writing followed the rating.</w:t>
      </w:r>
    </w:p>
    <w:p>
      <w:pPr>
        <w:pStyle w:val="BodyText"/>
      </w:pPr>
      <w:r>
        <w:t xml:space="preserve">The anchor-echo rule records whether an explanation contains the rating scale’s own wording, the labels attached to its points (no, minimal, moderate, significant, or a great deal of creativity or effort involved). The motivation is satisficing, Krosnick’s (1991) term for answering in a way that is merely acceptable instead of as well as one can, of which the least effortful form for an open question is to hand back the words already supplied; Schwarz (1999) adds that respondents treat the wording of a scale as information about what an acceptable answer looks like, so the labels themselves invite the echo. Smyth, Dillman, Christian and McBride (2009) judge the quality of an open-ended answer in a web survey by the amount and kind of information it carries beyond the question. The rule does not measure satisficing, and it does not draw that line. It fires on the scale’s wording wherever the wording appears, including in an explanation that goes on to give a full reason, so it records that the wording is present and nothing about what else the explanation carries. It does not bear on the legal question directly; it exists so that the share of the corpus that contains the scale’s wording is known before anything is read into the rest, and so that the words the task put in front of every participant are kept out of the candidate-word list when the word lists are checked for gaps. The rule cannot catch a paraphrase of the labels in other words.</w:t>
      </w:r>
    </w:p>
    <w:p>
      <w:pPr>
        <w:pStyle w:val="BodyText"/>
      </w:pPr>
      <w:r>
        <w:rPr>
          <w:b/>
          <w:bCs/>
        </w:rPr>
        <w:t xml:space="preserve">Where a person judges individual responses, and where they do not.</w:t>
      </w:r>
      <w:r>
        <w:t xml:space="preserve"> </w:t>
      </w:r>
      <w:r>
        <w:t xml:space="preserve">No language model or person labels, codes or judges any individual response anywhere in the analysis, and no author reads a match to decide what it meant. The one use of a pretrained model is the check on the topic model described above, which turns each explanation into numbers with a locally stored sentence-embedding model (all-mpnet-base-v2) and compares the resulting grouping with the topics by the adjusted Rand index, a measure of how far two groupings agree beyond chance. Every count, both counts of the belief audit included, is the output of a fixed rule applied identically to every response, and every number in the paper can be recomputed from the deposited rules and the deposited text without anyone’s reading. The printed match samples exist so that a reader can see what each rule found and judge the rule; nothing reported depends on what that reader concludes.</w:t>
      </w:r>
    </w:p>
    <w:p>
      <w:pPr>
        <w:pStyle w:val="BodyText"/>
      </w:pPr>
      <w:r>
        <w:rPr>
          <w:b/>
          <w:bCs/>
        </w:rPr>
        <w:t xml:space="preserve">Checking the word lists for gaps.</w:t>
      </w:r>
      <w:r>
        <w:t xml:space="preserve"> </w:t>
      </w:r>
      <w:r>
        <w:t xml:space="preserve">A fixed pattern finds exactly what was written down and nothing else. How often a rule fires when it should not is visible by reading its matches, and those are printed. How often it stays silent when it should have fired is not visible from inside the method, because a rule cannot report words nobody put on its list. To probe that, we compare vocabularies rather than read cases. For each rule we take the responses it flagged and ask which words are over-represented in them relative to the rest of the corpus, using the same calculation the distinctive-words analysis uses: the log-odds ratio with an informative prior of Monroe, Colaresi and Quinn (2008), which compares how often a word appears on each side after adding to every word a small amount proportional to how common that word is overall, so that rare words cannot dominate. Words that score high on that comparison but are not themselves matched by the rule are the candidate words: they are the vocabulary people use in the same contexts as the rule’s own words.</w:t>
      </w:r>
    </w:p>
    <w:p>
      <w:pPr>
        <w:pStyle w:val="BodyText"/>
      </w:pPr>
      <w:r>
        <w:t xml:space="preserve">The candidate-word list holds the thirty highest-scoring such words per rule, each with its frequency and one example sentence. Words appearing in fewer than five responses are not listed, and neither are words that occur only inside responses the rule already flags, since either would name nothing the rule does not already have. Also excluded are the words the task itself put in front of every participant: the artist’s name from the vignette, the wording of the two rating questions and their scale anchors, and the words describing the artworks. They are excluded because a word every participant read is over-represented wherever people restate the question rather than answer it, and its appearance beside a rule’s matches reflects the shared prompt, not the topic the rule is meant to find. The echo pattern described above records the responses that contain that wording. The list and its example sentences are generated and deposited with condition and rating stripped, on the same blind as the measurement step. The list is reported as a coverage diagnostic and nothing more: it lets a reader see the vocabulary the corpus uses near each rule’s topic and judge how far the rule’s own vocabulary reaches. No word is ever added to a rule after the data have been seen. There is one word list, one checksum, one flags file and one set of numbers, and a candidate word that plainly belongs on a list is reported as a gap in that list rather than closed by adding it.</w:t>
      </w:r>
    </w:p>
    <w:p>
      <w:pPr>
        <w:pStyle w:val="BodyText"/>
      </w:pPr>
      <w:r>
        <w:t xml:space="preserve">We state plainly what this procedure does and does not buy. It finds phrasings a rule missed and supports a</w:t>
      </w:r>
      <w:r>
        <w:t xml:space="preserve"> </w:t>
      </w:r>
      <w:r>
        <w:rPr>
          <w:b/>
          <w:bCs/>
        </w:rPr>
        <w:t xml:space="preserve">coverage</w:t>
      </w:r>
      <w:r>
        <w:t xml:space="preserve"> </w:t>
      </w:r>
      <w:r>
        <w:t xml:space="preserve">argument: the rule’s vocabulary is not an arbitrary corner of the vocabulary people actually use for that topic. It does not produce</w:t>
      </w:r>
      <w:r>
        <w:t xml:space="preserve"> </w:t>
      </w:r>
      <w:r>
        <w:rPr>
          <w:b/>
          <w:bCs/>
        </w:rPr>
        <w:t xml:space="preserve">recall</w:t>
      </w:r>
      <w:r>
        <w:t xml:space="preserve">, the proportion of genuine mentions a rule catches, and it produces no confidence interval for one, because estimating recall requires a person to judge whether individual unflagged responses were misses, and we are not doing that. Nothing in the reporting will be phrased so as to imply otherwise.</w:t>
      </w:r>
    </w:p>
    <w:p>
      <w:pPr>
        <w:pStyle w:val="BodyText"/>
      </w:pPr>
      <w:r>
        <w:rPr>
          <w:b/>
          <w:bCs/>
        </w:rPr>
        <w:t xml:space="preserve">The safeguard that matters most.</w:t>
      </w:r>
      <w:r>
        <w:t xml:space="preserve"> </w:t>
      </w:r>
      <w:r>
        <w:t xml:space="preserve">These explanations were written immediately after the ratings they explain, by people who had just given those ratings. The text therefore cannot be used to explain why a rating happened. It is not evidence of mechanism, and no mediation analysis will be reported, formally or informally: a word that tends to appear beside low ratings will separate the conditions whenever the ratings do, and that separation says nothing about what caused what. What survives this restriction is narrower and still worth having: a description of what a word denoted for the people who used it, and a count of what participants told a person made the work wrote about machines. Those are questions about the content of the writing, not about the origin of the ratings, and we confine ourselves to them.</w:t>
      </w:r>
    </w:p>
    <w:p>
      <w:pPr>
        <w:pStyle w:val="BodyText"/>
      </w:pPr>
      <w:r>
        <w:rPr>
          <w:b/>
          <w:bCs/>
        </w:rPr>
        <w:t xml:space="preserve">Reporting the belief audit.</w:t>
      </w:r>
      <w:r>
        <w:t xml:space="preserve"> </w:t>
      </w:r>
      <w:r>
        <w:t xml:space="preserve">Each of the two counts is reported as a rate of human-arm participants with a confidence interval obtained by resampling participants, since the participant and not the response is the unit that varies. The narrow set, the participants with at least one explanation stating that the work is or looks machine-made, is the one carried into the analyses that follow. We refit the primary models, on both dimensions, excluding the participants in that set. The full-sample model is primary and the exclusion refit is a sensitivity analysis, reported regardless of what it shows; the exclusion estimate is never substituted for the primary one. Because dropping people who rated low from the higher-rated arm moves the effect for arithmetic reasons alone, the excluded-sample estimate is reported beside a matched comparison rather than a plain random one. An equal number of participants is drawn from the same arm, and a draw is kept only if the drawn group’s mean effort rating falls within a calibrated tolerance of the mean for the excluded set, repeated until two thousand matched draws have been accepted, with the tolerance and the acceptance rate both reported. Plain random removal would not be a fair comparison, because the participants in question sit in the low tail by construction. That matched distribution sets the reference: where the exclusion estimate falls inside it, the change is mechanical and is described as mechanical. Where it falls outside, the result is described as not compatible with that reference and nothing more. The matching holds only the average effort rating, within a tolerance, so it cannot say which other difference between the groups moved the estimate.</w:t>
      </w:r>
    </w:p>
    <w:p>
      <w:pPr>
        <w:pStyle w:val="BodyText"/>
      </w:pPr>
      <w:r>
        <w:rPr>
          <w:b/>
          <w:bCs/>
        </w:rPr>
        <w:t xml:space="preserve">Which questions can be asked in which studies.</w:t>
      </w:r>
      <w:r>
        <w:t xml:space="preserve"> </w:t>
      </w:r>
      <w:r>
        <w:t xml:space="preserve">The four questions are not all available everywhere, because the studies do not all collect the same ratings. Creativity is rated in every one of the five studies, so the creativity question can be asked throughout. Effort is rated only in Studies 1 and 3, so the effort question is confined to those two. The two checks and the general description run wherever the rating exists: all are computed for creativity in every study, and for effort in the two studies that rate it. The belief audit and the prompting-and-generating count apply wherever a study attributes the work by vignette and lacks a manipulation check, which is the same situation recorded in section 3. The derivative-work studies rate transformativeness and change of essence rather than effort, and we do not design text measures for those dependent variables here; where a question cannot be asked, it is reported as unavailable rather than approximated with a different rating.</w:t>
      </w:r>
    </w:p>
    <w:p>
      <w:pPr>
        <w:pStyle w:val="BodyText"/>
      </w:pPr>
      <w:r>
        <w:rPr>
          <w:b/>
          <w:bCs/>
        </w:rPr>
        <w:t xml:space="preserve">Consistency across studies.</w:t>
      </w:r>
      <w:r>
        <w:t xml:space="preserve"> </w:t>
      </w:r>
      <w:r>
        <w:t xml:space="preserve">The same measures, unchanged, are run in every study where the corresponding rating exists, including those we expect to be underpowered, and are reported wherever they fall out null rather than dropped from the study where they disappoint.</w:t>
      </w:r>
    </w:p>
    <w:p>
      <w:pPr>
        <w:pStyle w:val="BodyText"/>
      </w:pPr>
      <w:r>
        <w:rPr>
          <w:b/>
          <w:bCs/>
        </w:rPr>
        <w:t xml:space="preserve">What this cannot do.</w:t>
      </w:r>
      <w:r>
        <w:t xml:space="preserve"> </w:t>
      </w:r>
      <w:r>
        <w:t xml:space="preserve">It cannot recover meaning a participant did not write down, and brief justifications leave much unwritten. It cannot distinguish a considered reason from a phrase reached for under time pressure. It cannot state what proportion of genuine mentions the rules catch, because settling that would require a person to judge individual responses one at a time. It cannot establish that a participant who never mentions a machine believed the vignette, only that they did not say otherwise. And it cannot, for the reason given above, tell us why anyone rated as they did.</w:t>
      </w:r>
    </w:p>
    <w:bookmarkEnd w:id="28"/>
    <w:bookmarkStart w:id="29" w:name="materials-and-reproducibility"/>
    <w:p>
      <w:pPr>
        <w:pStyle w:val="Heading2"/>
      </w:pPr>
      <w:r>
        <w:t xml:space="preserve">10. Materials and reproducibility</w:t>
      </w:r>
    </w:p>
    <w:p>
      <w:pPr>
        <w:pStyle w:val="FirstParagraph"/>
      </w:pPr>
      <w:r>
        <w:t xml:space="preserve">We deposit the analysis code, the raw exports, the survey instrument with the verbatim wording of every item, the fixed word lists together with a checksum for each (a short fingerprint computed from the file’s contents, so a reader can confirm that the list in hand is the list that was run), pinned software versions, all random seeds, the printed match samples described in section 9 for every rule, the grounding notes file that states for each rule the construct it measures, the candidate-word list from the coverage check, the changelog recording when each element of the pipeline was settled, the enumeration of the specification-curve levels and their exact count, and the figures with the data behind them. The two checks of section 9 add five files. From the measurement step come the word-count table (</w:t>
      </w:r>
      <w:r>
        <w:rPr>
          <w:rStyle w:val="VerbatimChar"/>
        </w:rPr>
        <w:t xml:space="preserve">nlp/study1_text_wordcounts.csv</w:t>
      </w:r>
      <w:r>
        <w:t xml:space="preserve">), its vocabulary (</w:t>
      </w:r>
      <w:r>
        <w:rPr>
          <w:rStyle w:val="VerbatimChar"/>
        </w:rPr>
        <w:t xml:space="preserve">nlp/study1_text_vocabulary.csv</w:t>
      </w:r>
      <w:r>
        <w:t xml:space="preserve">) and the table of each response’s distinct content words (</w:t>
      </w:r>
      <w:r>
        <w:rPr>
          <w:rStyle w:val="VerbatimChar"/>
        </w:rPr>
        <w:t xml:space="preserve">nlp/study1_text_tokens.csv</w:t>
      </w:r>
      <w:r>
        <w:t xml:space="preserve">), none of which carries condition or rating; from the step that joins condition and rating back come the recoverability table (</w:t>
      </w:r>
      <w:r>
        <w:rPr>
          <w:rStyle w:val="VerbatimChar"/>
        </w:rPr>
        <w:t xml:space="preserve">tables/study1_text_recoverability.csv</w:t>
      </w:r>
      <w:r>
        <w:t xml:space="preserve">) and the overlap-by-arm table (</w:t>
      </w:r>
      <w:r>
        <w:rPr>
          <w:rStyle w:val="VerbatimChar"/>
        </w:rPr>
        <w:t xml:space="preserve">tables/study1_text_selfsimilarity_by_arm.csv</w:t>
      </w:r>
      <w:r>
        <w:t xml:space="preserve">). The general description adds the norm scores (</w:t>
      </w:r>
      <w:r>
        <w:rPr>
          <w:rStyle w:val="VerbatimChar"/>
        </w:rPr>
        <w:t xml:space="preserve">nlp/study1_text_affect.csv</w:t>
      </w:r>
      <w:r>
        <w:t xml:space="preserve">), the topic weights (</w:t>
      </w:r>
      <w:r>
        <w:rPr>
          <w:rStyle w:val="VerbatimChar"/>
        </w:rPr>
        <w:t xml:space="preserve">nlp/study1_text_topics.csv</w:t>
      </w:r>
      <w:r>
        <w:t xml:space="preserve">) and three topic tables from the measurement step, and three tables from the join (</w:t>
      </w:r>
      <w:r>
        <w:rPr>
          <w:rStyle w:val="VerbatimChar"/>
        </w:rPr>
        <w:t xml:space="preserve">tables/study1_text_affect_by_arm.csv</w:t>
      </w:r>
      <w:r>
        <w:t xml:space="preserve">,</w:t>
      </w:r>
      <w:r>
        <w:t xml:space="preserve"> </w:t>
      </w:r>
      <w:r>
        <w:rPr>
          <w:rStyle w:val="VerbatimChar"/>
        </w:rPr>
        <w:t xml:space="preserve">tables/study1_text_topics_by_arm.csv</w:t>
      </w:r>
      <w:r>
        <w:t xml:space="preserve">,</w:t>
      </w:r>
      <w:r>
        <w:t xml:space="preserve"> </w:t>
      </w:r>
      <w:r>
        <w:rPr>
          <w:rStyle w:val="VerbatimChar"/>
        </w:rPr>
        <w:t xml:space="preserve">tables/study1_text_prediction_weights.csv</w:t>
      </w:r>
      <w:r>
        <w:t xml:space="preserve">). The two norm files are cited rather than redistributed. Each of the four analysis notebooks also writes a run record that lists a run identifier and the checksums of its inputs and outputs, so that each deposited table can be traced to the run and the data that produced it.</w:t>
      </w:r>
    </w:p>
    <w:p>
      <w:pPr>
        <w:pStyle w:val="BodyText"/>
      </w:pPr>
      <w:r>
        <w:t xml:space="preserve">Stimuli are ten digital artworks, five figurative and five non-figurative, generated with DALL-E and presented at 1024 × 1024 pixels. The approach to generating them draws on Orwig et al. (2026), but the prompts used here are our own.</w:t>
      </w:r>
    </w:p>
    <w:bookmarkEnd w:id="29"/>
    <w:bookmarkStart w:id="54" w:name="references"/>
    <w:p>
      <w:pPr>
        <w:pStyle w:val="Heading2"/>
      </w:pPr>
      <w:r>
        <w:t xml:space="preserve">11. References</w:t>
      </w:r>
    </w:p>
    <w:p>
      <w:pPr>
        <w:pStyle w:val="Bibliography"/>
      </w:pPr>
      <w:r>
        <w:t xml:space="preserve">Amabile, T. M. (1982). Social psychology of creativity: A consensual assessment technique.</w:t>
      </w:r>
      <w:r>
        <w:t xml:space="preserve"> </w:t>
      </w:r>
      <w:r>
        <w:rPr>
          <w:i/>
          <w:iCs/>
        </w:rPr>
        <w:t xml:space="preserve">Journal of Personality and Social Psychology, 43</w:t>
      </w:r>
      <w:r>
        <w:t xml:space="preserve">(5), 997-1013.</w:t>
      </w:r>
      <w:r>
        <w:t xml:space="preserve"> </w:t>
      </w:r>
      <w:hyperlink r:id="rId30">
        <w:r>
          <w:rPr>
            <w:rStyle w:val="Hyperlink"/>
          </w:rPr>
          <w:t xml:space="preserve">https://doi.org/10.1037/0022-3514.43.5.997</w:t>
        </w:r>
      </w:hyperlink>
    </w:p>
    <w:p>
      <w:pPr>
        <w:pStyle w:val="Bibliography"/>
      </w:pPr>
      <w:r>
        <w:t xml:space="preserve">Amabile, T. M. (1983). The social psychology of creativity: A componential conceptualization.</w:t>
      </w:r>
      <w:r>
        <w:t xml:space="preserve"> </w:t>
      </w:r>
      <w:r>
        <w:rPr>
          <w:i/>
          <w:iCs/>
        </w:rPr>
        <w:t xml:space="preserve">Journal of Personality and Social Psychology, 45</w:t>
      </w:r>
      <w:r>
        <w:t xml:space="preserve">(2), 357-376.</w:t>
      </w:r>
      <w:r>
        <w:t xml:space="preserve"> </w:t>
      </w:r>
      <w:hyperlink r:id="rId31">
        <w:r>
          <w:rPr>
            <w:rStyle w:val="Hyperlink"/>
          </w:rPr>
          <w:t xml:space="preserve">https://doi.org/10.1037/0022-3514.45.2.357</w:t>
        </w:r>
      </w:hyperlink>
    </w:p>
    <w:p>
      <w:pPr>
        <w:pStyle w:val="Bibliography"/>
      </w:pPr>
      <w:r>
        <w:t xml:space="preserve">Amabile, T. M. (1996).</w:t>
      </w:r>
      <w:r>
        <w:t xml:space="preserve"> </w:t>
      </w:r>
      <w:r>
        <w:rPr>
          <w:i/>
          <w:iCs/>
        </w:rPr>
        <w:t xml:space="preserve">Creativity in context: Update to The social psychology of creativity</w:t>
      </w:r>
      <w:r>
        <w:t xml:space="preserve">. Westview Press.</w:t>
      </w:r>
    </w:p>
    <w:p>
      <w:pPr>
        <w:pStyle w:val="Bibliography"/>
      </w:pPr>
      <w:r>
        <w:t xml:space="preserve">Bornstein, R. F. (1989). Exposure and affect: Overview and meta-analysis of research, 1968-1987.</w:t>
      </w:r>
      <w:r>
        <w:t xml:space="preserve"> </w:t>
      </w:r>
      <w:r>
        <w:rPr>
          <w:i/>
          <w:iCs/>
        </w:rPr>
        <w:t xml:space="preserve">Psychological Bulletin, 106</w:t>
      </w:r>
      <w:r>
        <w:t xml:space="preserve">(2), 265-289.</w:t>
      </w:r>
      <w:r>
        <w:t xml:space="preserve"> </w:t>
      </w:r>
      <w:hyperlink r:id="rId32">
        <w:r>
          <w:rPr>
            <w:rStyle w:val="Hyperlink"/>
          </w:rPr>
          <w:t xml:space="preserve">https://doi.org/10.1037/0033-2909.106.2.265</w:t>
        </w:r>
      </w:hyperlink>
    </w:p>
    <w:p>
      <w:pPr>
        <w:pStyle w:val="Bibliography"/>
      </w:pPr>
      <w:r>
        <w:t xml:space="preserve">Brysbaert, M., Warriner, A. B., &amp; Kuperman, V. (2014). Concreteness ratings for 40 thousand generally known English word lemmas.</w:t>
      </w:r>
      <w:r>
        <w:t xml:space="preserve"> </w:t>
      </w:r>
      <w:r>
        <w:rPr>
          <w:i/>
          <w:iCs/>
        </w:rPr>
        <w:t xml:space="preserve">Behavior Research Methods, 46</w:t>
      </w:r>
      <w:r>
        <w:t xml:space="preserve">, 904-911.</w:t>
      </w:r>
      <w:r>
        <w:t xml:space="preserve"> </w:t>
      </w:r>
      <w:hyperlink r:id="rId33">
        <w:r>
          <w:rPr>
            <w:rStyle w:val="Hyperlink"/>
          </w:rPr>
          <w:t xml:space="preserve">https://doi.org/10.3758/s13428-013-0403-5</w:t>
        </w:r>
      </w:hyperlink>
    </w:p>
    <w:p>
      <w:pPr>
        <w:pStyle w:val="Bibliography"/>
      </w:pPr>
      <w:r>
        <w:t xml:space="preserve">Buell, R. W., &amp; Norton, M. I. (2011). The labor illusion: How operational transparency increases perceived value.</w:t>
      </w:r>
      <w:r>
        <w:t xml:space="preserve"> </w:t>
      </w:r>
      <w:r>
        <w:rPr>
          <w:i/>
          <w:iCs/>
        </w:rPr>
        <w:t xml:space="preserve">Management Science, 57</w:t>
      </w:r>
      <w:r>
        <w:t xml:space="preserve">(9), 1564-1579.</w:t>
      </w:r>
      <w:r>
        <w:t xml:space="preserve"> </w:t>
      </w:r>
      <w:hyperlink r:id="rId34">
        <w:r>
          <w:rPr>
            <w:rStyle w:val="Hyperlink"/>
          </w:rPr>
          <w:t xml:space="preserve">https://doi.org/10.1287/mnsc.1110.1376</w:t>
        </w:r>
      </w:hyperlink>
    </w:p>
    <w:p>
      <w:pPr>
        <w:pStyle w:val="Bibliography"/>
      </w:pPr>
      <w:r>
        <w:t xml:space="preserve">Chamberlain, R., Mullin, C., Scheerlinck, B., &amp; Wagemans, J. (2018). Putting the art in artificial: Aesthetic responses to computer-generated art.</w:t>
      </w:r>
      <w:r>
        <w:t xml:space="preserve"> </w:t>
      </w:r>
      <w:r>
        <w:rPr>
          <w:i/>
          <w:iCs/>
        </w:rPr>
        <w:t xml:space="preserve">Psychology of Aesthetics, Creativity, and the Arts, 12</w:t>
      </w:r>
      <w:r>
        <w:t xml:space="preserve">(2), 177-192.</w:t>
      </w:r>
      <w:r>
        <w:t xml:space="preserve"> </w:t>
      </w:r>
      <w:hyperlink r:id="rId35">
        <w:r>
          <w:rPr>
            <w:rStyle w:val="Hyperlink"/>
          </w:rPr>
          <w:t xml:space="preserve">https://doi.org/10.1037/aca0000136</w:t>
        </w:r>
      </w:hyperlink>
    </w:p>
    <w:p>
      <w:pPr>
        <w:pStyle w:val="Bibliography"/>
      </w:pPr>
      <w:r>
        <w:t xml:space="preserve">Chinander, K. R., &amp; Schweitzer, M. E. (2003). The input bias: The misuse of input information in judgments of outcomes.</w:t>
      </w:r>
      <w:r>
        <w:t xml:space="preserve"> </w:t>
      </w:r>
      <w:r>
        <w:rPr>
          <w:i/>
          <w:iCs/>
        </w:rPr>
        <w:t xml:space="preserve">Organizational Behavior and Human Decision Processes, 91</w:t>
      </w:r>
      <w:r>
        <w:t xml:space="preserve">(2), 243-253.</w:t>
      </w:r>
      <w:r>
        <w:t xml:space="preserve"> </w:t>
      </w:r>
      <w:hyperlink r:id="rId36">
        <w:r>
          <w:rPr>
            <w:rStyle w:val="Hyperlink"/>
          </w:rPr>
          <w:t xml:space="preserve">https://doi.org/10.1016/S0749-5978(03)00025-6</w:t>
        </w:r>
      </w:hyperlink>
    </w:p>
    <w:p>
      <w:pPr>
        <w:pStyle w:val="Bibliography"/>
      </w:pPr>
      <w:r>
        <w:t xml:space="preserve">Diedrich, J., Benedek, M., Jauk, E., &amp; Neubauer, A. C. (2015). Are creative ideas novel and useful?</w:t>
      </w:r>
      <w:r>
        <w:t xml:space="preserve"> </w:t>
      </w:r>
      <w:r>
        <w:rPr>
          <w:i/>
          <w:iCs/>
        </w:rPr>
        <w:t xml:space="preserve">Psychology of Aesthetics, Creativity, and the Arts, 9</w:t>
      </w:r>
      <w:r>
        <w:t xml:space="preserve">(1), 35-40.</w:t>
      </w:r>
      <w:r>
        <w:t xml:space="preserve"> </w:t>
      </w:r>
      <w:hyperlink r:id="rId37">
        <w:r>
          <w:rPr>
            <w:rStyle w:val="Hyperlink"/>
          </w:rPr>
          <w:t xml:space="preserve">https://doi.org/10.1037/a0038688</w:t>
        </w:r>
      </w:hyperlink>
    </w:p>
    <w:p>
      <w:pPr>
        <w:pStyle w:val="Bibliography"/>
      </w:pPr>
      <w:r>
        <w:t xml:space="preserve">Ejelöv, E., &amp; Luke, T. J. (2020).</w:t>
      </w:r>
      <w:r>
        <w:t xml:space="preserve"> </w:t>
      </w:r>
      <w:r>
        <w:t xml:space="preserve">“Rarely safe to assume”</w:t>
      </w:r>
      <w:r>
        <w:t xml:space="preserve">: Evaluating the use and interpretation of manipulation checks in experimental social psychology.</w:t>
      </w:r>
      <w:r>
        <w:t xml:space="preserve"> </w:t>
      </w:r>
      <w:r>
        <w:rPr>
          <w:i/>
          <w:iCs/>
        </w:rPr>
        <w:t xml:space="preserve">Journal of Experimental Social Psychology, 87</w:t>
      </w:r>
      <w:r>
        <w:t xml:space="preserve">, Article 103937.</w:t>
      </w:r>
      <w:r>
        <w:t xml:space="preserve"> </w:t>
      </w:r>
      <w:hyperlink r:id="rId38">
        <w:r>
          <w:rPr>
            <w:rStyle w:val="Hyperlink"/>
          </w:rPr>
          <w:t xml:space="preserve">https://doi.org/10.1016/j.jesp.2019.103937</w:t>
        </w:r>
      </w:hyperlink>
    </w:p>
    <w:p>
      <w:pPr>
        <w:pStyle w:val="Bibliography"/>
      </w:pPr>
      <w:r>
        <w:t xml:space="preserve">Hauser, D. J., Ellsworth, P. C., &amp; Gonzalez, R. (2018). Are manipulation checks necessary?</w:t>
      </w:r>
      <w:r>
        <w:t xml:space="preserve"> </w:t>
      </w:r>
      <w:r>
        <w:rPr>
          <w:i/>
          <w:iCs/>
        </w:rPr>
        <w:t xml:space="preserve">Frontiers in Psychology, 9</w:t>
      </w:r>
      <w:r>
        <w:t xml:space="preserve">, Article 998.</w:t>
      </w:r>
      <w:r>
        <w:t xml:space="preserve"> </w:t>
      </w:r>
      <w:hyperlink r:id="rId39">
        <w:r>
          <w:rPr>
            <w:rStyle w:val="Hyperlink"/>
          </w:rPr>
          <w:t xml:space="preserve">https://doi.org/10.3389/fpsyg.2018.00998</w:t>
        </w:r>
      </w:hyperlink>
    </w:p>
    <w:p>
      <w:pPr>
        <w:pStyle w:val="Bibliography"/>
      </w:pPr>
      <w:r>
        <w:t xml:space="preserve">Hekkert, P., Snelders, D., &amp; van Wieringen, P. C. W. (2003).</w:t>
      </w:r>
      <w:r>
        <w:t xml:space="preserve"> </w:t>
      </w:r>
      <w:r>
        <w:t xml:space="preserve">“Most advanced, yet acceptable”</w:t>
      </w:r>
      <w:r>
        <w:t xml:space="preserve">: Typicality and novelty as joint predictors of aesthetic preference in industrial design.</w:t>
      </w:r>
      <w:r>
        <w:t xml:space="preserve"> </w:t>
      </w:r>
      <w:r>
        <w:rPr>
          <w:i/>
          <w:iCs/>
        </w:rPr>
        <w:t xml:space="preserve">British Journal of Psychology, 94</w:t>
      </w:r>
      <w:r>
        <w:t xml:space="preserve">(1), 111-124.</w:t>
      </w:r>
      <w:r>
        <w:t xml:space="preserve"> </w:t>
      </w:r>
      <w:hyperlink r:id="rId40">
        <w:r>
          <w:rPr>
            <w:rStyle w:val="Hyperlink"/>
          </w:rPr>
          <w:t xml:space="preserve">https://doi.org/10.1348/000712603762842147</w:t>
        </w:r>
      </w:hyperlink>
    </w:p>
    <w:p>
      <w:pPr>
        <w:pStyle w:val="Bibliography"/>
      </w:pPr>
      <w:r>
        <w:t xml:space="preserve">Krosnick, J. A. (1991). Response strategies for coping with the cognitive demands of attitude measures in surveys.</w:t>
      </w:r>
      <w:r>
        <w:t xml:space="preserve"> </w:t>
      </w:r>
      <w:r>
        <w:rPr>
          <w:i/>
          <w:iCs/>
        </w:rPr>
        <w:t xml:space="preserve">Applied Cognitive Psychology, 5</w:t>
      </w:r>
      <w:r>
        <w:t xml:space="preserve">(3), 213-236.</w:t>
      </w:r>
      <w:r>
        <w:t xml:space="preserve"> </w:t>
      </w:r>
      <w:hyperlink r:id="rId41">
        <w:r>
          <w:rPr>
            <w:rStyle w:val="Hyperlink"/>
          </w:rPr>
          <w:t xml:space="preserve">https://doi.org/10.1002/acp.2350050305</w:t>
        </w:r>
      </w:hyperlink>
    </w:p>
    <w:p>
      <w:pPr>
        <w:pStyle w:val="Bibliography"/>
      </w:pPr>
      <w:r>
        <w:t xml:space="preserve">Kruger, J., Wirtz, D., Van Boven, L., &amp; Altermatt, T. W. (2004). The effort heuristic.</w:t>
      </w:r>
      <w:r>
        <w:t xml:space="preserve"> </w:t>
      </w:r>
      <w:r>
        <w:rPr>
          <w:i/>
          <w:iCs/>
        </w:rPr>
        <w:t xml:space="preserve">Journal of Experimental Social Psychology, 40</w:t>
      </w:r>
      <w:r>
        <w:t xml:space="preserve">(1), 91-98.</w:t>
      </w:r>
      <w:r>
        <w:t xml:space="preserve"> </w:t>
      </w:r>
      <w:hyperlink r:id="rId42">
        <w:r>
          <w:rPr>
            <w:rStyle w:val="Hyperlink"/>
          </w:rPr>
          <w:t xml:space="preserve">https://doi.org/10.1016/S0022-1031(03)00065-9</w:t>
        </w:r>
      </w:hyperlink>
    </w:p>
    <w:p>
      <w:pPr>
        <w:pStyle w:val="Bibliography"/>
      </w:pPr>
      <w:r>
        <w:t xml:space="preserve">Leder, H., Belke, B., Oeberst, A., &amp; Augustin, D. (2004). A model of aesthetic appreciation and aesthetic judgments.</w:t>
      </w:r>
      <w:r>
        <w:t xml:space="preserve"> </w:t>
      </w:r>
      <w:r>
        <w:rPr>
          <w:i/>
          <w:iCs/>
        </w:rPr>
        <w:t xml:space="preserve">British Journal of Psychology, 95</w:t>
      </w:r>
      <w:r>
        <w:t xml:space="preserve">(4), 489-508.</w:t>
      </w:r>
      <w:r>
        <w:t xml:space="preserve"> </w:t>
      </w:r>
      <w:hyperlink r:id="rId43">
        <w:r>
          <w:rPr>
            <w:rStyle w:val="Hyperlink"/>
          </w:rPr>
          <w:t xml:space="preserve">https://doi.org/10.1348/0007126042369811</w:t>
        </w:r>
      </w:hyperlink>
    </w:p>
    <w:p>
      <w:pPr>
        <w:pStyle w:val="Bibliography"/>
      </w:pPr>
      <w:r>
        <w:t xml:space="preserve">Monroe, B. L., Colaresi, M. P., &amp; Quinn, K. M. (2008). Fightin’ words: Lexical feature selection and evaluation for identifying the content of political conflict.</w:t>
      </w:r>
      <w:r>
        <w:t xml:space="preserve"> </w:t>
      </w:r>
      <w:r>
        <w:rPr>
          <w:i/>
          <w:iCs/>
        </w:rPr>
        <w:t xml:space="preserve">Political Analysis, 16</w:t>
      </w:r>
      <w:r>
        <w:t xml:space="preserve">(4), 372-403.</w:t>
      </w:r>
      <w:r>
        <w:t xml:space="preserve"> </w:t>
      </w:r>
      <w:hyperlink r:id="rId44">
        <w:r>
          <w:rPr>
            <w:rStyle w:val="Hyperlink"/>
          </w:rPr>
          <w:t xml:space="preserve">https://doi.org/10.1093/pan/mpn018</w:t>
        </w:r>
      </w:hyperlink>
    </w:p>
    <w:p>
      <w:pPr>
        <w:pStyle w:val="Bibliography"/>
      </w:pPr>
      <w:r>
        <w:t xml:space="preserve">Orne, M. T. (1962). On the social psychology of the psychological experiment: With particular reference to demand characteristics and their implications.</w:t>
      </w:r>
      <w:r>
        <w:t xml:space="preserve"> </w:t>
      </w:r>
      <w:r>
        <w:rPr>
          <w:i/>
          <w:iCs/>
        </w:rPr>
        <w:t xml:space="preserve">American Psychologist, 17</w:t>
      </w:r>
      <w:r>
        <w:t xml:space="preserve">(11), 776-783.</w:t>
      </w:r>
      <w:r>
        <w:t xml:space="preserve"> </w:t>
      </w:r>
      <w:hyperlink r:id="rId45">
        <w:r>
          <w:rPr>
            <w:rStyle w:val="Hyperlink"/>
          </w:rPr>
          <w:t xml:space="preserve">https://doi.org/10.1037/h0043424</w:t>
        </w:r>
      </w:hyperlink>
    </w:p>
    <w:p>
      <w:pPr>
        <w:pStyle w:val="Bibliography"/>
      </w:pPr>
      <w:r>
        <w:t xml:space="preserve">Orwig, W., Bellaiche, L., Spooner, S., Vo, A., Baig, Z., Ragnhildstveit, A., Schacter, D. L., Barr, N., &amp; Seli, P. (2026). Using AI to generate visual art: Do individual differences in creativity predict AI-assisted art quality?</w:t>
      </w:r>
      <w:r>
        <w:t xml:space="preserve"> </w:t>
      </w:r>
      <w:r>
        <w:rPr>
          <w:i/>
          <w:iCs/>
        </w:rPr>
        <w:t xml:space="preserve">Creativity Research Journal, 38</w:t>
      </w:r>
      <w:r>
        <w:t xml:space="preserve">(1), 242-253.</w:t>
      </w:r>
      <w:r>
        <w:t xml:space="preserve"> </w:t>
      </w:r>
      <w:hyperlink r:id="rId46">
        <w:r>
          <w:rPr>
            <w:rStyle w:val="Hyperlink"/>
          </w:rPr>
          <w:t xml:space="preserve">https://doi.org/10.1080/10400419.2024.2440691</w:t>
        </w:r>
      </w:hyperlink>
    </w:p>
    <w:p>
      <w:pPr>
        <w:pStyle w:val="Bibliography"/>
      </w:pPr>
      <w:r>
        <w:t xml:space="preserve">Runco, M. A., &amp; Bahleda, M. D. (1986). Implicit theories of artistic, scientific, and everyday creativity.</w:t>
      </w:r>
      <w:r>
        <w:t xml:space="preserve"> </w:t>
      </w:r>
      <w:r>
        <w:rPr>
          <w:i/>
          <w:iCs/>
        </w:rPr>
        <w:t xml:space="preserve">The Journal of Creative Behavior, 20</w:t>
      </w:r>
      <w:r>
        <w:t xml:space="preserve">(2), 93-98.</w:t>
      </w:r>
      <w:r>
        <w:t xml:space="preserve"> </w:t>
      </w:r>
      <w:hyperlink r:id="rId47">
        <w:r>
          <w:rPr>
            <w:rStyle w:val="Hyperlink"/>
          </w:rPr>
          <w:t xml:space="preserve">https://doi.org/10.1002/j.2162-6057.1986.tb00423.x</w:t>
        </w:r>
      </w:hyperlink>
    </w:p>
    <w:p>
      <w:pPr>
        <w:pStyle w:val="Bibliography"/>
      </w:pPr>
      <w:r>
        <w:t xml:space="preserve">Runco, M. A., &amp; Jaeger, G. J. (2012). The standard definition of creativity.</w:t>
      </w:r>
      <w:r>
        <w:t xml:space="preserve"> </w:t>
      </w:r>
      <w:r>
        <w:rPr>
          <w:i/>
          <w:iCs/>
        </w:rPr>
        <w:t xml:space="preserve">Creativity Research Journal, 24</w:t>
      </w:r>
      <w:r>
        <w:t xml:space="preserve">(1), 92-96.</w:t>
      </w:r>
      <w:r>
        <w:t xml:space="preserve"> </w:t>
      </w:r>
      <w:hyperlink r:id="rId48">
        <w:r>
          <w:rPr>
            <w:rStyle w:val="Hyperlink"/>
          </w:rPr>
          <w:t xml:space="preserve">https://doi.org/10.1080/10400419.2012.650092</w:t>
        </w:r>
      </w:hyperlink>
    </w:p>
    <w:p>
      <w:pPr>
        <w:pStyle w:val="Bibliography"/>
      </w:pPr>
      <w:r>
        <w:t xml:space="preserve">Schwarz, N. (1999). Self-reports: How the questions shape the answers.</w:t>
      </w:r>
      <w:r>
        <w:t xml:space="preserve"> </w:t>
      </w:r>
      <w:r>
        <w:rPr>
          <w:i/>
          <w:iCs/>
        </w:rPr>
        <w:t xml:space="preserve">American Psychologist, 54</w:t>
      </w:r>
      <w:r>
        <w:t xml:space="preserve">(2), 93-105.</w:t>
      </w:r>
      <w:r>
        <w:t xml:space="preserve"> </w:t>
      </w:r>
      <w:hyperlink r:id="rId49">
        <w:r>
          <w:rPr>
            <w:rStyle w:val="Hyperlink"/>
          </w:rPr>
          <w:t xml:space="preserve">https://doi.org/10.1037/0003-066X.54.2.93</w:t>
        </w:r>
      </w:hyperlink>
    </w:p>
    <w:p>
      <w:pPr>
        <w:pStyle w:val="Bibliography"/>
      </w:pPr>
      <w:r>
        <w:t xml:space="preserve">Smyth, J. D., Dillman, D. A., Christian, L. M., &amp; McBride, M. (2009). Open-ended questions in web surveys: Can increasing the size of answer boxes and providing extra verbal instructions improve response quality?</w:t>
      </w:r>
      <w:r>
        <w:t xml:space="preserve"> </w:t>
      </w:r>
      <w:r>
        <w:rPr>
          <w:i/>
          <w:iCs/>
        </w:rPr>
        <w:t xml:space="preserve">Public Opinion Quarterly, 73</w:t>
      </w:r>
      <w:r>
        <w:t xml:space="preserve">(2), 325-337.</w:t>
      </w:r>
      <w:r>
        <w:t xml:space="preserve"> </w:t>
      </w:r>
      <w:hyperlink r:id="rId50">
        <w:r>
          <w:rPr>
            <w:rStyle w:val="Hyperlink"/>
          </w:rPr>
          <w:t xml:space="preserve">https://doi.org/10.1093/poq/nfp029</w:t>
        </w:r>
      </w:hyperlink>
    </w:p>
    <w:p>
      <w:pPr>
        <w:pStyle w:val="Bibliography"/>
      </w:pPr>
      <w:r>
        <w:t xml:space="preserve">Sternberg, R. J. (1985). Implicit theories of intelligence, creativity, and wisdom.</w:t>
      </w:r>
      <w:r>
        <w:t xml:space="preserve"> </w:t>
      </w:r>
      <w:r>
        <w:rPr>
          <w:i/>
          <w:iCs/>
        </w:rPr>
        <w:t xml:space="preserve">Journal of Personality and Social Psychology, 49</w:t>
      </w:r>
      <w:r>
        <w:t xml:space="preserve">(3), 607-627.</w:t>
      </w:r>
      <w:r>
        <w:t xml:space="preserve"> </w:t>
      </w:r>
      <w:hyperlink r:id="rId51">
        <w:r>
          <w:rPr>
            <w:rStyle w:val="Hyperlink"/>
          </w:rPr>
          <w:t xml:space="preserve">https://doi.org/10.1037/0022-3514.49.3.607</w:t>
        </w:r>
      </w:hyperlink>
    </w:p>
    <w:p>
      <w:pPr>
        <w:pStyle w:val="Bibliography"/>
      </w:pPr>
      <w:r>
        <w:t xml:space="preserve">Warriner, A. B., Kuperman, V., &amp; Brysbaert, M. (2013). Norms of valence, arousal, and dominance for 13,915 English lemmas.</w:t>
      </w:r>
      <w:r>
        <w:t xml:space="preserve"> </w:t>
      </w:r>
      <w:r>
        <w:rPr>
          <w:i/>
          <w:iCs/>
        </w:rPr>
        <w:t xml:space="preserve">Behavior Research Methods, 45</w:t>
      </w:r>
      <w:r>
        <w:t xml:space="preserve">, 1191-1207.</w:t>
      </w:r>
      <w:r>
        <w:t xml:space="preserve"> </w:t>
      </w:r>
      <w:hyperlink r:id="rId52">
        <w:r>
          <w:rPr>
            <w:rStyle w:val="Hyperlink"/>
          </w:rPr>
          <w:t xml:space="preserve">https://doi.org/10.3758/s13428-012-0314-x</w:t>
        </w:r>
      </w:hyperlink>
    </w:p>
    <w:p>
      <w:pPr>
        <w:pStyle w:val="Bibliography"/>
      </w:pPr>
      <w:r>
        <w:t xml:space="preserve">Zajonc, R. B. (1968). Attitudinal effects of mere exposure.</w:t>
      </w:r>
      <w:r>
        <w:t xml:space="preserve"> </w:t>
      </w:r>
      <w:r>
        <w:rPr>
          <w:i/>
          <w:iCs/>
        </w:rPr>
        <w:t xml:space="preserve">Journal of Personality and Social Psychology, 9</w:t>
      </w:r>
      <w:r>
        <w:t xml:space="preserve">(2, Pt. 2), 1-27.</w:t>
      </w:r>
      <w:r>
        <w:t xml:space="preserve"> </w:t>
      </w:r>
      <w:hyperlink r:id="rId53">
        <w:r>
          <w:rPr>
            <w:rStyle w:val="Hyperlink"/>
          </w:rPr>
          <w:t xml:space="preserve">https://doi.org/10.1037/h0025848</w:t>
        </w:r>
      </w:hyperlink>
    </w:p>
    <w:bookmarkEnd w:id="54"/>
    <w:bookmarkEnd w:id="55"/>
    <w:sectPr>
      <w:footerReference r:id="rId9" w:type="defaul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120" w:before="0" w:line="276" w:lineRule="auto"/>
      </w:pPr>
    </w:pPrDefault>
  </w:docDefaults>
  <w:latentStyles w:count="276" w:defLockedState="0" w:defQFormat="0" w:defSemiHidden="0" w:defUIPriority="0" w:defUnhideWhenUsed="0"/>
  <w:style w:default="1" w:styleId="Normal" w:type="paragraph">
    <w:name w:val="Normal"/>
    <w:qFormat/>
    <w:pPr>
      <w:spacing w:after="120" w:before="0" w:line="276" w:lineRule="auto"/>
      <w:ind w:firstLine="0" w:left="0"/>
    </w:pPr>
    <w:rPr>
      <w:rFonts w:ascii="Times New Roman" w:cs="Times New Roman" w:eastAsia="Times New Roman" w:hAnsi="Times New Roman"/>
      <w:sz w:val="24"/>
      <w:szCs w:val="24"/>
    </w:rPr>
  </w:style>
  <w:style w:styleId="BodyText" w:type="paragraph">
    <w:name w:val="Body Text"/>
    <w:basedOn w:val="Normal"/>
    <w:link w:val="BodyTextChar"/>
    <w:qFormat/>
    <w:pPr>
      <w:spacing w:after="120" w:before="0" w:line="276"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120" w:before="0" w:line="276" w:lineRule="auto"/>
    </w:pPr>
  </w:style>
  <w:style w:styleId="Title" w:type="paragraph">
    <w:name w:val="Title"/>
    <w:basedOn w:val="Normal"/>
    <w:next w:val="BodyText"/>
    <w:link w:val="TitleChar"/>
    <w:uiPriority w:val="10"/>
    <w:qFormat/>
    <w:rsid w:val="00A10FD9"/>
    <w:pPr>
      <w:keepNext/>
      <w:keepLines/>
      <w:spacing w:after="120" w:before="0" w:line="240" w:lineRule="auto"/>
      <w:jc w:val="center"/>
    </w:pPr>
    <w:rPr>
      <w:rFonts w:ascii="Times New Roman" w:cs="Times New Roman" w:eastAsia="Times New Roman" w:hAnsi="Times New Roman"/>
      <w:b/>
      <w:bCs/>
      <w:color w:val="000000"/>
      <w:sz w:val="32"/>
      <w:szCs w:val="32"/>
    </w:rPr>
  </w:style>
  <w:style w:customStyle="1" w:styleId="TitleChar" w:type="character">
    <w:name w:val="Title Char"/>
    <w:basedOn w:val="DefaultParagraphFont"/>
    <w:link w:val="Title"/>
    <w:uiPriority w:val="10"/>
    <w:rsid w:val="00A10FD9"/>
    <w:rPr>
      <w:rFonts w:ascii="Times New Roman" w:cs="Times New Roman" w:eastAsia="Times New Roman" w:hAnsi="Times New Roman"/>
      <w:b/>
      <w:bCs/>
      <w:color w:val="000000"/>
      <w:sz w:val="32"/>
      <w:szCs w:val="32"/>
    </w:rPr>
  </w:style>
  <w:style w:styleId="Subtitle" w:type="paragraph">
    <w:name w:val="Subtitle"/>
    <w:basedOn w:val="Normal"/>
    <w:next w:val="BodyText"/>
    <w:link w:val="SubtitleChar"/>
    <w:uiPriority w:val="11"/>
    <w:qFormat/>
    <w:rsid w:val="00A10FD9"/>
    <w:pPr>
      <w:keepNext/>
      <w:keepLines/>
      <w:spacing w:after="60" w:before="0" w:line="276" w:lineRule="auto"/>
      <w:jc w:val="center"/>
    </w:pPr>
    <w:rPr>
      <w:rFonts w:ascii="Times New Roman" w:cs="Times New Roman" w:eastAsia="Times New Roman" w:hAnsi="Times New Roman"/>
      <w:color w:val="000000"/>
      <w:sz w:val="24"/>
      <w:szCs w:val="24"/>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val="000000"/>
      <w:sz w:val="24"/>
      <w:szCs w:val="24"/>
    </w:rPr>
  </w:style>
  <w:style w:customStyle="1" w:styleId="Author" w:type="paragraph">
    <w:name w:val="Author"/>
    <w:next w:val="BodyText"/>
    <w:qFormat/>
    <w:pPr>
      <w:keepNext/>
      <w:keepLines/>
      <w:spacing w:after="120" w:before="0" w:line="276" w:lineRule="auto"/>
      <w:jc w:val="center"/>
    </w:pPr>
    <w:rPr>
      <w:rFonts w:ascii="Times New Roman" w:cs="Times New Roman" w:eastAsia="Times New Roman" w:hAnsi="Times New Roman"/>
      <w:sz w:val="24"/>
      <w:szCs w:val="24"/>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20" w:before="0" w:line="276" w:lineRule="auto"/>
      <w:ind w:hanging="720" w:left="720"/>
    </w:pPr>
  </w:style>
  <w:style w:styleId="Heading1" w:type="paragraph">
    <w:name w:val="heading 1"/>
    <w:basedOn w:val="Normal"/>
    <w:next w:val="BodyText"/>
    <w:link w:val="Heading1Char"/>
    <w:uiPriority w:val="9"/>
    <w:qFormat/>
    <w:rsid w:val="00A10FD9"/>
    <w:pPr>
      <w:keepNext/>
      <w:keepLines/>
      <w:spacing w:after="120" w:before="0" w:line="240" w:lineRule="auto"/>
      <w:jc w:val="center"/>
      <w:outlineLvl w:val="0"/>
    </w:pPr>
    <w:rPr>
      <w:rFonts w:ascii="Times New Roman" w:cs="Times New Roman" w:eastAsia="Times New Roman" w:hAnsi="Times New Roman"/>
      <w:b/>
      <w:bCs/>
      <w:color w:val="000000"/>
      <w:sz w:val="32"/>
      <w:szCs w:val="32"/>
    </w:rPr>
  </w:style>
  <w:style w:styleId="Heading2" w:type="paragraph">
    <w:name w:val="heading 2"/>
    <w:basedOn w:val="Normal"/>
    <w:next w:val="BodyText"/>
    <w:link w:val="Heading2Char"/>
    <w:uiPriority w:val="9"/>
    <w:unhideWhenUsed/>
    <w:qFormat/>
    <w:rsid w:val="00A10FD9"/>
    <w:pPr>
      <w:keepNext/>
      <w:keepLines/>
      <w:spacing w:after="120" w:before="240" w:line="240" w:lineRule="auto"/>
      <w:outlineLvl w:val="1"/>
    </w:pPr>
    <w:rPr>
      <w:rFonts w:ascii="Times New Roman" w:cs="Times New Roman" w:eastAsia="Times New Roman" w:hAnsi="Times New Roman"/>
      <w:b/>
      <w:bCs/>
      <w:color w:val="000000"/>
      <w:sz w:val="26"/>
      <w:szCs w:val="26"/>
    </w:rPr>
  </w:style>
  <w:style w:styleId="Heading3" w:type="paragraph">
    <w:name w:val="heading 3"/>
    <w:basedOn w:val="Normal"/>
    <w:next w:val="BodyText"/>
    <w:link w:val="Heading3Char"/>
    <w:uiPriority w:val="9"/>
    <w:unhideWhenUsed/>
    <w:qFormat/>
    <w:rsid w:val="00A10FD9"/>
    <w:pPr>
      <w:keepNext/>
      <w:keepLines/>
      <w:spacing w:after="120" w:before="200" w:line="240" w:lineRule="auto"/>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link w:val="Heading4Char"/>
    <w:uiPriority w:val="9"/>
    <w:unhideWhenUsed/>
    <w:qFormat/>
    <w:rsid w:val="00A10FD9"/>
    <w:pPr>
      <w:keepNext/>
      <w:keepLines/>
      <w:spacing w:after="120" w:before="200" w:line="240" w:lineRule="auto"/>
      <w:outlineLvl w:val="3"/>
    </w:pPr>
    <w:rPr>
      <w:rFonts w:ascii="Times New Roman" w:cs="Times New Roman" w:eastAsia="Times New Roman" w:hAnsi="Times New Roman"/>
      <w:b/>
      <w:bCs/>
      <w:i/>
      <w:iCs/>
      <w:color w:val="000000"/>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b/>
      <w:bCs/>
      <w:color w:val="000000"/>
      <w:sz w:val="32"/>
      <w:szCs w:val="32"/>
    </w:rPr>
  </w:style>
  <w:style w:customStyle="1" w:styleId="Heading2Char" w:type="character">
    <w:name w:val="Heading 2 Char"/>
    <w:basedOn w:val="DefaultParagraphFont"/>
    <w:link w:val="Heading2"/>
    <w:uiPriority w:val="9"/>
    <w:rsid w:val="00A10FD9"/>
    <w:rPr>
      <w:rFonts w:ascii="Times New Roman" w:cs="Times New Roman" w:eastAsia="Times New Roman" w:hAnsi="Times New Roman"/>
      <w:b/>
      <w:bCs/>
      <w:color w:val="000000"/>
      <w:sz w:val="26"/>
      <w:szCs w:val="26"/>
    </w:rPr>
  </w:style>
  <w:style w:customStyle="1" w:styleId="Heading3Char" w:type="character">
    <w:name w:val="Heading 3 Char"/>
    <w:basedOn w:val="DefaultParagraphFont"/>
    <w:link w:val="Heading3"/>
    <w:uiPriority w:val="9"/>
    <w:rsid w:val="00A10FD9"/>
    <w:rPr>
      <w:rFonts w:ascii="Times New Roman" w:cs="Times New Roman" w:eastAsia="Times New Roman" w:hAnsi="Times New Roman"/>
      <w:b/>
      <w:bCs/>
      <w:color w:val="000000"/>
      <w:sz w:val="24"/>
      <w:szCs w:val="24"/>
    </w:rPr>
  </w:style>
  <w:style w:customStyle="1" w:styleId="Heading4Char" w:type="character">
    <w:name w:val="Heading 4 Char"/>
    <w:basedOn w:val="DefaultParagraphFont"/>
    <w:link w:val="Heading4"/>
    <w:uiPriority w:val="9"/>
    <w:rsid w:val="00A10FD9"/>
    <w:rPr>
      <w:rFonts w:ascii="Times New Roman" w:cs="Times New Roman" w:eastAsia="Times New Roman" w:hAnsi="Times New Roman"/>
      <w:b/>
      <w:bCs/>
      <w:i/>
      <w:iCs/>
      <w:color w:val="000000"/>
      <w:sz w:val="24"/>
      <w:szCs w:val="24"/>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rPr>
      <w:sz w:val="20"/>
      <w:szCs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3"/>
        <w:left w:type="dxa" w:w="100"/>
        <w:bottom w:type="dxa" w:w="43"/>
        <w:right w:type="dxa" w:w="100"/>
      </w:tblCellMar>
    </w:tblPr>
    <w:tblStylePr w:type="firstRow">
      <w:rPr>
        <w:b/>
        <w:bCs/>
      </w:rPr>
      <w:tcPr>
        <w:shd w:color="auto" w:fill="E7E6E6"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21"/>
      <w:szCs w:val="21"/>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keepLines/>
      <w:spacing w:after="180" w:before="60" w:line="240" w:lineRule="auto"/>
      <w:ind w:left="360"/>
    </w:pPr>
    <w:rPr>
      <w:rFonts w:ascii="Courier New" w:cs="Courier New" w:eastAsia="Courier New" w:hAnsi="Courier New"/>
      <w:sz w:val="21"/>
      <w:szCs w:val="21"/>
    </w:rPr>
  </w:style>
  <w:style w:customStyle="1" w:styleId="TableText" w:type="paragraph">
    <w:name w:val="Table Text"/>
    <w:basedOn w:val="Normal"/>
    <w:qFormat/>
    <w:pPr>
      <w:spacing w:after="40" w:before="40" w:line="240" w:lineRule="auto"/>
    </w:pPr>
    <w:rPr>
      <w:sz w:val="20"/>
      <w:szCs w:val="20"/>
    </w:rPr>
  </w:style>
  <w:style w:customStyle="1" w:styleId="TableHeading" w:type="paragraph">
    <w:name w:val="Table Heading"/>
    <w:basedOn w:val="TableText"/>
    <w:qFormat/>
    <w:pPr>
      <w:keepNext/>
    </w:pPr>
    <w:rPr>
      <w:b/>
      <w:bCs/>
      <w:sz w:val="20"/>
      <w:szCs w:val="20"/>
    </w:rPr>
  </w:style>
  <w:style w:styleId="Footer" w:type="paragraph">
    <w:name w:val="footer"/>
    <w:basedOn w:val="Normal"/>
    <w:uiPriority w:val="99"/>
    <w:unhideWhenUsed/>
    <w:pPr>
      <w:tabs>
        <w:tab w:pos="4680" w:val="center"/>
        <w:tab w:pos="9360" w:val="right"/>
      </w:tabs>
      <w:spacing w:after="0" w:before="0" w:line="240" w:lineRule="auto"/>
      <w:jc w:val="center"/>
    </w:pPr>
    <w:rPr>
      <w:sz w:val="22"/>
      <w:szCs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41" Target="https://doi.org/10.1002/acp.2350050305" TargetMode="External" /><Relationship Type="http://schemas.openxmlformats.org/officeDocument/2006/relationships/hyperlink" Id="rId47" Target="https://doi.org/10.1002/j.2162-6057.1986.tb00423.x" TargetMode="External" /><Relationship Type="http://schemas.openxmlformats.org/officeDocument/2006/relationships/hyperlink" Id="rId42" Target="https://doi.org/10.1016/S0022-1031(03)00065-9" TargetMode="External" /><Relationship Type="http://schemas.openxmlformats.org/officeDocument/2006/relationships/hyperlink" Id="rId36" Target="https://doi.org/10.1016/S0749-5978(03)00025-6" TargetMode="External" /><Relationship Type="http://schemas.openxmlformats.org/officeDocument/2006/relationships/hyperlink" Id="rId38" Target="https://doi.org/10.1016/j.jesp.2019.103937" TargetMode="External" /><Relationship Type="http://schemas.openxmlformats.org/officeDocument/2006/relationships/hyperlink" Id="rId49" Target="https://doi.org/10.1037/0003-066X.54.2.93" TargetMode="External" /><Relationship Type="http://schemas.openxmlformats.org/officeDocument/2006/relationships/hyperlink" Id="rId30" Target="https://doi.org/10.1037/0022-3514.43.5.997" TargetMode="External" /><Relationship Type="http://schemas.openxmlformats.org/officeDocument/2006/relationships/hyperlink" Id="rId31" Target="https://doi.org/10.1037/0022-3514.45.2.357" TargetMode="External" /><Relationship Type="http://schemas.openxmlformats.org/officeDocument/2006/relationships/hyperlink" Id="rId51" Target="https://doi.org/10.1037/0022-3514.49.3.607" TargetMode="External" /><Relationship Type="http://schemas.openxmlformats.org/officeDocument/2006/relationships/hyperlink" Id="rId32" Target="https://doi.org/10.1037/0033-2909.106.2.265" TargetMode="External" /><Relationship Type="http://schemas.openxmlformats.org/officeDocument/2006/relationships/hyperlink" Id="rId37" Target="https://doi.org/10.1037/a0038688" TargetMode="External" /><Relationship Type="http://schemas.openxmlformats.org/officeDocument/2006/relationships/hyperlink" Id="rId35" Target="https://doi.org/10.1037/aca0000136" TargetMode="External" /><Relationship Type="http://schemas.openxmlformats.org/officeDocument/2006/relationships/hyperlink" Id="rId53" Target="https://doi.org/10.1037/h0025848" TargetMode="External" /><Relationship Type="http://schemas.openxmlformats.org/officeDocument/2006/relationships/hyperlink" Id="rId45" Target="https://doi.org/10.1037/h0043424" TargetMode="External" /><Relationship Type="http://schemas.openxmlformats.org/officeDocument/2006/relationships/hyperlink" Id="rId48" Target="https://doi.org/10.1080/10400419.2012.650092" TargetMode="External" /><Relationship Type="http://schemas.openxmlformats.org/officeDocument/2006/relationships/hyperlink" Id="rId46" Target="https://doi.org/10.1080/10400419.2024.2440691" TargetMode="External" /><Relationship Type="http://schemas.openxmlformats.org/officeDocument/2006/relationships/hyperlink" Id="rId44" Target="https://doi.org/10.1093/pan/mpn018" TargetMode="External" /><Relationship Type="http://schemas.openxmlformats.org/officeDocument/2006/relationships/hyperlink" Id="rId50" Target="https://doi.org/10.1093/poq/nfp029" TargetMode="External" /><Relationship Type="http://schemas.openxmlformats.org/officeDocument/2006/relationships/hyperlink" Id="rId34" Target="https://doi.org/10.1287/mnsc.1110.1376" TargetMode="External" /><Relationship Type="http://schemas.openxmlformats.org/officeDocument/2006/relationships/hyperlink" Id="rId40" Target="https://doi.org/10.1348/000712603762842147" TargetMode="External" /><Relationship Type="http://schemas.openxmlformats.org/officeDocument/2006/relationships/hyperlink" Id="rId43" Target="https://doi.org/10.1348/0007126042369811" TargetMode="External" /><Relationship Type="http://schemas.openxmlformats.org/officeDocument/2006/relationships/hyperlink" Id="rId39" Target="https://doi.org/10.3389/fpsyg.2018.00998" TargetMode="External" /><Relationship Type="http://schemas.openxmlformats.org/officeDocument/2006/relationships/hyperlink" Id="rId52" Target="https://doi.org/10.3758/s13428-012-0314-x" TargetMode="External" /><Relationship Type="http://schemas.openxmlformats.org/officeDocument/2006/relationships/hyperlink" Id="rId33" Target="https://doi.org/10.3758/s13428-013-0403-5" TargetMode="External" /></Relationships>
</file>

<file path=word/_rels/footnotes.xml.rels><?xml version="1.0" encoding="UTF-8"?><Relationships xmlns="http://schemas.openxmlformats.org/package/2006/relationships"><Relationship Type="http://schemas.openxmlformats.org/officeDocument/2006/relationships/hyperlink" Id="rId41" Target="https://doi.org/10.1002/acp.2350050305" TargetMode="External" /><Relationship Type="http://schemas.openxmlformats.org/officeDocument/2006/relationships/hyperlink" Id="rId47" Target="https://doi.org/10.1002/j.2162-6057.1986.tb00423.x" TargetMode="External" /><Relationship Type="http://schemas.openxmlformats.org/officeDocument/2006/relationships/hyperlink" Id="rId42" Target="https://doi.org/10.1016/S0022-1031(03)00065-9" TargetMode="External" /><Relationship Type="http://schemas.openxmlformats.org/officeDocument/2006/relationships/hyperlink" Id="rId36" Target="https://doi.org/10.1016/S0749-5978(03)00025-6" TargetMode="External" /><Relationship Type="http://schemas.openxmlformats.org/officeDocument/2006/relationships/hyperlink" Id="rId38" Target="https://doi.org/10.1016/j.jesp.2019.103937" TargetMode="External" /><Relationship Type="http://schemas.openxmlformats.org/officeDocument/2006/relationships/hyperlink" Id="rId49" Target="https://doi.org/10.1037/0003-066X.54.2.93" TargetMode="External" /><Relationship Type="http://schemas.openxmlformats.org/officeDocument/2006/relationships/hyperlink" Id="rId30" Target="https://doi.org/10.1037/0022-3514.43.5.997" TargetMode="External" /><Relationship Type="http://schemas.openxmlformats.org/officeDocument/2006/relationships/hyperlink" Id="rId31" Target="https://doi.org/10.1037/0022-3514.45.2.357" TargetMode="External" /><Relationship Type="http://schemas.openxmlformats.org/officeDocument/2006/relationships/hyperlink" Id="rId51" Target="https://doi.org/10.1037/0022-3514.49.3.607" TargetMode="External" /><Relationship Type="http://schemas.openxmlformats.org/officeDocument/2006/relationships/hyperlink" Id="rId32" Target="https://doi.org/10.1037/0033-2909.106.2.265" TargetMode="External" /><Relationship Type="http://schemas.openxmlformats.org/officeDocument/2006/relationships/hyperlink" Id="rId37" Target="https://doi.org/10.1037/a0038688" TargetMode="External" /><Relationship Type="http://schemas.openxmlformats.org/officeDocument/2006/relationships/hyperlink" Id="rId35" Target="https://doi.org/10.1037/aca0000136" TargetMode="External" /><Relationship Type="http://schemas.openxmlformats.org/officeDocument/2006/relationships/hyperlink" Id="rId53" Target="https://doi.org/10.1037/h0025848" TargetMode="External" /><Relationship Type="http://schemas.openxmlformats.org/officeDocument/2006/relationships/hyperlink" Id="rId45" Target="https://doi.org/10.1037/h0043424" TargetMode="External" /><Relationship Type="http://schemas.openxmlformats.org/officeDocument/2006/relationships/hyperlink" Id="rId48" Target="https://doi.org/10.1080/10400419.2012.650092" TargetMode="External" /><Relationship Type="http://schemas.openxmlformats.org/officeDocument/2006/relationships/hyperlink" Id="rId46" Target="https://doi.org/10.1080/10400419.2024.2440691" TargetMode="External" /><Relationship Type="http://schemas.openxmlformats.org/officeDocument/2006/relationships/hyperlink" Id="rId44" Target="https://doi.org/10.1093/pan/mpn018" TargetMode="External" /><Relationship Type="http://schemas.openxmlformats.org/officeDocument/2006/relationships/hyperlink" Id="rId50" Target="https://doi.org/10.1093/poq/nfp029" TargetMode="External" /><Relationship Type="http://schemas.openxmlformats.org/officeDocument/2006/relationships/hyperlink" Id="rId34" Target="https://doi.org/10.1287/mnsc.1110.1376" TargetMode="External" /><Relationship Type="http://schemas.openxmlformats.org/officeDocument/2006/relationships/hyperlink" Id="rId40" Target="https://doi.org/10.1348/000712603762842147" TargetMode="External" /><Relationship Type="http://schemas.openxmlformats.org/officeDocument/2006/relationships/hyperlink" Id="rId43" Target="https://doi.org/10.1348/0007126042369811" TargetMode="External" /><Relationship Type="http://schemas.openxmlformats.org/officeDocument/2006/relationships/hyperlink" Id="rId39" Target="https://doi.org/10.3389/fpsyg.2018.00998" TargetMode="External" /><Relationship Type="http://schemas.openxmlformats.org/officeDocument/2006/relationships/hyperlink" Id="rId52" Target="https://doi.org/10.3758/s13428-012-0314-x" TargetMode="External" /><Relationship Type="http://schemas.openxmlformats.org/officeDocument/2006/relationships/hyperlink" Id="rId33" Target="https://doi.org/10.3758/s13428-013-0403-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1 Preregistration</dc:title>
  <dc:creator>David G. Kamper</dc:creator>
  <cp:keywords/>
  <dcterms:created xsi:type="dcterms:W3CDTF">2026-10-08T22:42:22Z</dcterms:created>
  <dcterms:modified xsi:type="dcterms:W3CDTF">2026-10-08T22:42:22Z</dcterms:modified>
</cp:coreProperties>
</file>

<file path=docProps/custom.xml><?xml version="1.0" encoding="utf-8"?>
<Properties xmlns="http://schemas.openxmlformats.org/officeDocument/2006/custom-properties" xmlns:vt="http://schemas.openxmlformats.org/officeDocument/2006/docPropsVTypes"/>
</file>