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81182" w14:textId="77777777" w:rsidR="00AF2CE1" w:rsidRPr="00611747" w:rsidRDefault="00AF2CE1" w:rsidP="00AF2CE1">
      <w:pPr>
        <w:jc w:val="center"/>
        <w:rPr>
          <w:rFonts w:ascii="Times New Roman" w:hAnsi="Times New Roman" w:cs="Times New Roman"/>
          <w:b/>
          <w:bCs/>
        </w:rPr>
      </w:pPr>
      <w:r w:rsidRPr="00611747">
        <w:rPr>
          <w:rFonts w:ascii="Times New Roman" w:hAnsi="Times New Roman" w:cs="Times New Roman"/>
          <w:b/>
          <w:bCs/>
        </w:rPr>
        <w:t>MEMORANDUM</w:t>
      </w:r>
    </w:p>
    <w:p w14:paraId="40D46405" w14:textId="77777777" w:rsidR="00AF2CE1" w:rsidRPr="00611747" w:rsidRDefault="00AF2CE1" w:rsidP="00AF2CE1">
      <w:pPr>
        <w:jc w:val="center"/>
        <w:rPr>
          <w:rFonts w:ascii="Times New Roman" w:hAnsi="Times New Roman" w:cs="Times New Roman"/>
        </w:rPr>
      </w:pPr>
    </w:p>
    <w:p w14:paraId="2F0DEBB5" w14:textId="32FEBB63" w:rsidR="00AF2CE1" w:rsidRPr="00611747" w:rsidRDefault="00AF2CE1" w:rsidP="00AF2CE1">
      <w:pPr>
        <w:rPr>
          <w:rFonts w:ascii="Times New Roman" w:hAnsi="Times New Roman" w:cs="Times New Roman"/>
        </w:rPr>
      </w:pPr>
      <w:r w:rsidRPr="00611747">
        <w:rPr>
          <w:rFonts w:ascii="Times New Roman" w:hAnsi="Times New Roman" w:cs="Times New Roman"/>
          <w:b/>
          <w:bCs/>
        </w:rPr>
        <w:t>TO:</w:t>
      </w:r>
      <w:r w:rsidRPr="00611747">
        <w:rPr>
          <w:rFonts w:ascii="Times New Roman" w:hAnsi="Times New Roman" w:cs="Times New Roman"/>
          <w:b/>
          <w:bCs/>
        </w:rPr>
        <w:tab/>
      </w:r>
      <w:r w:rsidRPr="00611747">
        <w:rPr>
          <w:rFonts w:ascii="Times New Roman" w:hAnsi="Times New Roman" w:cs="Times New Roman"/>
          <w:b/>
          <w:bCs/>
        </w:rPr>
        <w:tab/>
      </w:r>
      <w:r w:rsidRPr="00611747">
        <w:rPr>
          <w:rFonts w:ascii="Times New Roman" w:hAnsi="Times New Roman" w:cs="Times New Roman"/>
        </w:rPr>
        <w:t xml:space="preserve">Dr. </w:t>
      </w:r>
      <w:proofErr w:type="spellStart"/>
      <w:r>
        <w:rPr>
          <w:rFonts w:ascii="Times New Roman" w:hAnsi="Times New Roman" w:cs="Times New Roman"/>
        </w:rPr>
        <w:t>Idan</w:t>
      </w:r>
      <w:proofErr w:type="spellEnd"/>
      <w:r>
        <w:rPr>
          <w:rFonts w:ascii="Times New Roman" w:hAnsi="Times New Roman" w:cs="Times New Roman"/>
        </w:rPr>
        <w:t xml:space="preserve"> Blank</w:t>
      </w:r>
    </w:p>
    <w:p w14:paraId="44185B11" w14:textId="77777777" w:rsidR="00AF2CE1" w:rsidRPr="00611747" w:rsidRDefault="00AF2CE1" w:rsidP="00AF2CE1">
      <w:pPr>
        <w:rPr>
          <w:rFonts w:ascii="Times New Roman" w:hAnsi="Times New Roman" w:cs="Times New Roman"/>
        </w:rPr>
      </w:pPr>
      <w:r w:rsidRPr="00611747">
        <w:rPr>
          <w:rFonts w:ascii="Times New Roman" w:hAnsi="Times New Roman" w:cs="Times New Roman"/>
          <w:b/>
          <w:bCs/>
        </w:rPr>
        <w:t>FROM:</w:t>
      </w:r>
      <w:r w:rsidRPr="00611747">
        <w:rPr>
          <w:rFonts w:ascii="Times New Roman" w:hAnsi="Times New Roman" w:cs="Times New Roman"/>
          <w:b/>
          <w:bCs/>
        </w:rPr>
        <w:tab/>
      </w:r>
      <w:r w:rsidRPr="00611747">
        <w:rPr>
          <w:rFonts w:ascii="Times New Roman" w:hAnsi="Times New Roman" w:cs="Times New Roman"/>
        </w:rPr>
        <w:t>David G. Kamper</w:t>
      </w:r>
    </w:p>
    <w:p w14:paraId="756A6C9F" w14:textId="77777777" w:rsidR="00AF2CE1" w:rsidRPr="00611747" w:rsidRDefault="00AF2CE1" w:rsidP="00AF2CE1">
      <w:pPr>
        <w:rPr>
          <w:rFonts w:ascii="Times New Roman" w:hAnsi="Times New Roman" w:cs="Times New Roman"/>
        </w:rPr>
      </w:pPr>
      <w:r w:rsidRPr="00611747">
        <w:rPr>
          <w:rFonts w:ascii="Times New Roman" w:hAnsi="Times New Roman" w:cs="Times New Roman"/>
          <w:b/>
          <w:bCs/>
        </w:rPr>
        <w:t>DATE:</w:t>
      </w:r>
      <w:r w:rsidRPr="00611747">
        <w:rPr>
          <w:rFonts w:ascii="Times New Roman" w:hAnsi="Times New Roman" w:cs="Times New Roman"/>
          <w:b/>
          <w:bCs/>
        </w:rPr>
        <w:tab/>
      </w:r>
      <w:r w:rsidRPr="00611747">
        <w:rPr>
          <w:rFonts w:ascii="Times New Roman" w:hAnsi="Times New Roman" w:cs="Times New Roman"/>
        </w:rPr>
        <w:t>Summer 2024</w:t>
      </w:r>
    </w:p>
    <w:p w14:paraId="0658D566" w14:textId="6F755DF5" w:rsidR="00F57353" w:rsidRDefault="00AF2CE1" w:rsidP="00AF2CE1">
      <w:pPr>
        <w:ind w:left="1440" w:hanging="1440"/>
        <w:rPr>
          <w:rFonts w:ascii="Times New Roman" w:hAnsi="Times New Roman" w:cs="Times New Roman"/>
        </w:rPr>
      </w:pPr>
      <w:r w:rsidRPr="00611747">
        <w:rPr>
          <w:rFonts w:ascii="Times New Roman" w:hAnsi="Times New Roman" w:cs="Times New Roman"/>
          <w:b/>
          <w:bCs/>
        </w:rPr>
        <w:t>RE:</w:t>
      </w:r>
      <w:r w:rsidRPr="00611747">
        <w:rPr>
          <w:rFonts w:ascii="Times New Roman" w:hAnsi="Times New Roman" w:cs="Times New Roman"/>
          <w:b/>
          <w:bCs/>
        </w:rPr>
        <w:tab/>
      </w:r>
      <w:r>
        <w:rPr>
          <w:rFonts w:ascii="Times New Roman" w:hAnsi="Times New Roman" w:cs="Times New Roman"/>
        </w:rPr>
        <w:t>Second Amendment Language Construction: What is it, why the dependencies are odd, and what it says about judicial interpretation</w:t>
      </w:r>
    </w:p>
    <w:p w14:paraId="379B8F91" w14:textId="77777777" w:rsidR="00AF2CE1" w:rsidRPr="00611747" w:rsidRDefault="00AF2CE1" w:rsidP="00AF2CE1">
      <w:pPr>
        <w:pBdr>
          <w:bottom w:val="single" w:sz="12" w:space="1" w:color="auto"/>
        </w:pBdr>
        <w:rPr>
          <w:rFonts w:ascii="Times New Roman" w:hAnsi="Times New Roman" w:cs="Times New Roman"/>
        </w:rPr>
      </w:pPr>
    </w:p>
    <w:p w14:paraId="65DF8950" w14:textId="77777777" w:rsidR="00AF2CE1" w:rsidRPr="00611747" w:rsidRDefault="00AF2CE1" w:rsidP="00AF2CE1">
      <w:pPr>
        <w:rPr>
          <w:rFonts w:ascii="Times New Roman" w:hAnsi="Times New Roman" w:cs="Times New Roman"/>
          <w:b/>
          <w:bCs/>
        </w:rPr>
      </w:pPr>
    </w:p>
    <w:p w14:paraId="4BA3A185" w14:textId="700DCA86" w:rsidR="00AF2CE1" w:rsidRDefault="00AF2CE1" w:rsidP="00AF2CE1">
      <w:pPr>
        <w:rPr>
          <w:rFonts w:ascii="Times New Roman" w:hAnsi="Times New Roman" w:cs="Times New Roman"/>
          <w:b/>
          <w:bCs/>
        </w:rPr>
      </w:pPr>
      <w:r>
        <w:rPr>
          <w:rFonts w:ascii="Times New Roman" w:hAnsi="Times New Roman" w:cs="Times New Roman"/>
          <w:b/>
          <w:bCs/>
        </w:rPr>
        <w:t>SECOND AMENDMENT LAW: A JUDICIAL INTERPRETIVE CHALLENGE</w:t>
      </w:r>
    </w:p>
    <w:p w14:paraId="3A6BF887" w14:textId="77777777" w:rsidR="00AF2CE1" w:rsidRDefault="00AF2CE1" w:rsidP="00AF2CE1">
      <w:pPr>
        <w:rPr>
          <w:rFonts w:ascii="Times New Roman" w:hAnsi="Times New Roman" w:cs="Times New Roman"/>
          <w:b/>
          <w:bCs/>
        </w:rPr>
      </w:pPr>
    </w:p>
    <w:p w14:paraId="56CA72DE" w14:textId="77777777" w:rsidR="00AF2CE1" w:rsidRPr="00AF2CE1" w:rsidRDefault="00AF2CE1" w:rsidP="00AF2CE1">
      <w:pPr>
        <w:rPr>
          <w:rFonts w:ascii="Times New Roman" w:hAnsi="Times New Roman" w:cs="Times New Roman"/>
        </w:rPr>
      </w:pPr>
      <w:r w:rsidRPr="00AF2CE1">
        <w:rPr>
          <w:rFonts w:ascii="Times New Roman" w:hAnsi="Times New Roman" w:cs="Times New Roman"/>
        </w:rPr>
        <w:t>The Second Amendment to the United States Constitution is part of the Bill of Rights and was ratified on December 15, 1791. The exact text of the Second Amendment is:</w:t>
      </w:r>
    </w:p>
    <w:p w14:paraId="2FA5A32A" w14:textId="77777777" w:rsidR="00AF2CE1" w:rsidRPr="00AF2CE1" w:rsidRDefault="00AF2CE1" w:rsidP="00AF2CE1">
      <w:pPr>
        <w:rPr>
          <w:rFonts w:ascii="Times New Roman" w:hAnsi="Times New Roman" w:cs="Times New Roman"/>
        </w:rPr>
      </w:pPr>
    </w:p>
    <w:p w14:paraId="79D824FD" w14:textId="278C8F58" w:rsidR="00AF2CE1" w:rsidRDefault="00AF2CE1" w:rsidP="00AF2CE1">
      <w:pPr>
        <w:ind w:left="720"/>
        <w:rPr>
          <w:rFonts w:ascii="Times New Roman" w:hAnsi="Times New Roman" w:cs="Times New Roman"/>
        </w:rPr>
      </w:pPr>
      <w:r>
        <w:rPr>
          <w:rFonts w:ascii="Times New Roman" w:hAnsi="Times New Roman" w:cs="Times New Roman"/>
        </w:rPr>
        <w:t>“</w:t>
      </w:r>
      <w:r w:rsidRPr="00AF2CE1">
        <w:rPr>
          <w:rFonts w:ascii="Times New Roman" w:hAnsi="Times New Roman" w:cs="Times New Roman"/>
        </w:rPr>
        <w:t xml:space="preserve">A </w:t>
      </w:r>
      <w:proofErr w:type="gramStart"/>
      <w:r w:rsidRPr="00AF2CE1">
        <w:rPr>
          <w:rFonts w:ascii="Times New Roman" w:hAnsi="Times New Roman" w:cs="Times New Roman"/>
        </w:rPr>
        <w:t>well</w:t>
      </w:r>
      <w:r>
        <w:rPr>
          <w:rFonts w:ascii="Times New Roman" w:hAnsi="Times New Roman" w:cs="Times New Roman"/>
        </w:rPr>
        <w:t xml:space="preserve"> </w:t>
      </w:r>
      <w:r w:rsidRPr="00AF2CE1">
        <w:rPr>
          <w:rFonts w:ascii="Times New Roman" w:hAnsi="Times New Roman" w:cs="Times New Roman"/>
        </w:rPr>
        <w:t>regulated</w:t>
      </w:r>
      <w:proofErr w:type="gramEnd"/>
      <w:r w:rsidRPr="00AF2CE1">
        <w:rPr>
          <w:rFonts w:ascii="Times New Roman" w:hAnsi="Times New Roman" w:cs="Times New Roman"/>
        </w:rPr>
        <w:t xml:space="preserve"> Militia, being necessary to the security of a free State, the right of the people to keep and bear Arms, shall not be infringed.</w:t>
      </w:r>
      <w:r>
        <w:rPr>
          <w:rFonts w:ascii="Times New Roman" w:hAnsi="Times New Roman" w:cs="Times New Roman"/>
        </w:rPr>
        <w:t>”</w:t>
      </w:r>
    </w:p>
    <w:p w14:paraId="4FBC1E5C" w14:textId="77777777" w:rsidR="00AF2CE1" w:rsidRDefault="00AF2CE1" w:rsidP="00AF2CE1">
      <w:pPr>
        <w:ind w:left="720"/>
        <w:rPr>
          <w:rFonts w:ascii="Times New Roman" w:hAnsi="Times New Roman" w:cs="Times New Roman"/>
        </w:rPr>
      </w:pPr>
    </w:p>
    <w:p w14:paraId="491FC65F" w14:textId="4DCC0E22" w:rsidR="00AF2CE1" w:rsidRDefault="00AF2CE1" w:rsidP="00AF2CE1">
      <w:pPr>
        <w:rPr>
          <w:rFonts w:ascii="Times New Roman" w:hAnsi="Times New Roman" w:cs="Times New Roman"/>
        </w:rPr>
      </w:pPr>
      <w:r>
        <w:rPr>
          <w:rFonts w:ascii="Times New Roman" w:hAnsi="Times New Roman" w:cs="Times New Roman"/>
        </w:rPr>
        <w:t xml:space="preserve">As highlighted in a show </w:t>
      </w:r>
      <w:r w:rsidRPr="00AF2CE1">
        <w:rPr>
          <w:rFonts w:ascii="Times New Roman" w:hAnsi="Times New Roman" w:cs="Times New Roman"/>
        </w:rPr>
        <w:t>Radiolab</w:t>
      </w:r>
      <w:r>
        <w:rPr>
          <w:rFonts w:ascii="Times New Roman" w:hAnsi="Times New Roman" w:cs="Times New Roman"/>
        </w:rPr>
        <w:t xml:space="preserve"> from WNYC,</w:t>
      </w:r>
      <w:r w:rsidRPr="00AF2CE1">
        <w:rPr>
          <w:rFonts w:ascii="Times New Roman" w:hAnsi="Times New Roman" w:cs="Times New Roman"/>
        </w:rPr>
        <w:t xml:space="preserve"> </w:t>
      </w:r>
      <w:r w:rsidR="00A57043">
        <w:rPr>
          <w:rFonts w:ascii="Times New Roman" w:hAnsi="Times New Roman" w:cs="Times New Roman"/>
        </w:rPr>
        <w:t>“</w:t>
      </w:r>
      <w:r w:rsidRPr="00AF2CE1">
        <w:rPr>
          <w:rFonts w:ascii="Times New Roman" w:hAnsi="Times New Roman" w:cs="Times New Roman"/>
        </w:rPr>
        <w:t>More Perfect - The Gun Show</w:t>
      </w:r>
      <w:r w:rsidR="00A57043">
        <w:rPr>
          <w:rFonts w:ascii="Times New Roman" w:hAnsi="Times New Roman" w:cs="Times New Roman"/>
        </w:rPr>
        <w:t xml:space="preserve">,” the construction of the second amendment, with its </w:t>
      </w:r>
      <w:proofErr w:type="gramStart"/>
      <w:r w:rsidR="008C2433">
        <w:rPr>
          <w:rFonts w:ascii="Times New Roman" w:hAnsi="Times New Roman" w:cs="Times New Roman"/>
        </w:rPr>
        <w:t>myriad</w:t>
      </w:r>
      <w:proofErr w:type="gramEnd"/>
      <w:r w:rsidR="008C2433">
        <w:rPr>
          <w:rFonts w:ascii="Times New Roman" w:hAnsi="Times New Roman" w:cs="Times New Roman"/>
        </w:rPr>
        <w:t xml:space="preserve"> </w:t>
      </w:r>
      <w:r w:rsidR="00A57043">
        <w:rPr>
          <w:rFonts w:ascii="Times New Roman" w:hAnsi="Times New Roman" w:cs="Times New Roman"/>
        </w:rPr>
        <w:t xml:space="preserve">of commas in odd places, has confounded jurists for two centuries. </w:t>
      </w:r>
      <w:r w:rsidR="008C2433">
        <w:rPr>
          <w:rFonts w:ascii="Times New Roman" w:hAnsi="Times New Roman" w:cs="Times New Roman"/>
        </w:rPr>
        <w:t xml:space="preserve">As with other amendments, there has been extensive clarity established by </w:t>
      </w:r>
      <w:r w:rsidR="002D0A6F">
        <w:rPr>
          <w:rFonts w:ascii="Times New Roman" w:hAnsi="Times New Roman" w:cs="Times New Roman"/>
        </w:rPr>
        <w:t xml:space="preserve">courts, particularly the Supreme Court of the United States. For example, </w:t>
      </w:r>
      <w:r w:rsidR="0084428B">
        <w:rPr>
          <w:rFonts w:ascii="Times New Roman" w:hAnsi="Times New Roman" w:cs="Times New Roman"/>
        </w:rPr>
        <w:t xml:space="preserve">the </w:t>
      </w:r>
      <w:r w:rsidR="000D481E">
        <w:rPr>
          <w:rFonts w:ascii="Times New Roman" w:hAnsi="Times New Roman" w:cs="Times New Roman"/>
        </w:rPr>
        <w:t>F</w:t>
      </w:r>
      <w:r w:rsidR="0084428B">
        <w:rPr>
          <w:rFonts w:ascii="Times New Roman" w:hAnsi="Times New Roman" w:cs="Times New Roman"/>
        </w:rPr>
        <w:t xml:space="preserve">ourth </w:t>
      </w:r>
      <w:r w:rsidR="000D481E">
        <w:rPr>
          <w:rFonts w:ascii="Times New Roman" w:hAnsi="Times New Roman" w:cs="Times New Roman"/>
        </w:rPr>
        <w:t>A</w:t>
      </w:r>
      <w:r w:rsidR="0084428B">
        <w:rPr>
          <w:rFonts w:ascii="Times New Roman" w:hAnsi="Times New Roman" w:cs="Times New Roman"/>
        </w:rPr>
        <w:t>mendment against unlawful search and seizures was litigated in the early days of the republic</w:t>
      </w:r>
      <w:r w:rsidR="000D481E">
        <w:rPr>
          <w:rFonts w:ascii="Times New Roman" w:hAnsi="Times New Roman" w:cs="Times New Roman"/>
        </w:rPr>
        <w:t xml:space="preserve">, only a year or so after the ratification of the amendments in </w:t>
      </w:r>
      <w:r w:rsidR="000D481E" w:rsidRPr="000D481E">
        <w:rPr>
          <w:rFonts w:ascii="Times New Roman" w:hAnsi="Times New Roman" w:cs="Times New Roman"/>
        </w:rPr>
        <w:t>1791</w:t>
      </w:r>
      <w:r w:rsidR="000D481E">
        <w:rPr>
          <w:rFonts w:ascii="Times New Roman" w:hAnsi="Times New Roman" w:cs="Times New Roman"/>
        </w:rPr>
        <w:t>.</w:t>
      </w:r>
      <w:r w:rsidR="0084428B">
        <w:rPr>
          <w:rFonts w:ascii="Times New Roman" w:hAnsi="Times New Roman" w:cs="Times New Roman"/>
        </w:rPr>
        <w:t xml:space="preserve"> </w:t>
      </w:r>
      <w:r w:rsidR="002D0A6F">
        <w:rPr>
          <w:rFonts w:ascii="Times New Roman" w:hAnsi="Times New Roman" w:cs="Times New Roman"/>
        </w:rPr>
        <w:t xml:space="preserve">But the </w:t>
      </w:r>
      <w:r w:rsidR="0084428B" w:rsidRPr="0084428B">
        <w:rPr>
          <w:rFonts w:ascii="Times New Roman" w:hAnsi="Times New Roman" w:cs="Times New Roman"/>
        </w:rPr>
        <w:t xml:space="preserve">Second Amendment </w:t>
      </w:r>
      <w:r w:rsidR="002D0A6F">
        <w:rPr>
          <w:rFonts w:ascii="Times New Roman" w:hAnsi="Times New Roman" w:cs="Times New Roman"/>
        </w:rPr>
        <w:t xml:space="preserve">is </w:t>
      </w:r>
      <w:proofErr w:type="gramStart"/>
      <w:r w:rsidR="002D0A6F">
        <w:rPr>
          <w:rFonts w:ascii="Times New Roman" w:hAnsi="Times New Roman" w:cs="Times New Roman"/>
        </w:rPr>
        <w:t>actually a</w:t>
      </w:r>
      <w:proofErr w:type="gramEnd"/>
      <w:r w:rsidR="002D0A6F">
        <w:rPr>
          <w:rFonts w:ascii="Times New Roman" w:hAnsi="Times New Roman" w:cs="Times New Roman"/>
        </w:rPr>
        <w:t xml:space="preserve"> recent controversial interpretative nightmare. </w:t>
      </w:r>
      <w:r w:rsidR="0084428B" w:rsidRPr="0084428B">
        <w:rPr>
          <w:rFonts w:ascii="Times New Roman" w:hAnsi="Times New Roman" w:cs="Times New Roman"/>
        </w:rPr>
        <w:t xml:space="preserve">Few </w:t>
      </w:r>
      <w:proofErr w:type="gramStart"/>
      <w:r w:rsidR="000D481E" w:rsidRPr="0084428B">
        <w:rPr>
          <w:rFonts w:ascii="Times New Roman" w:hAnsi="Times New Roman" w:cs="Times New Roman"/>
        </w:rPr>
        <w:t>nineteenth</w:t>
      </w:r>
      <w:proofErr w:type="gramEnd"/>
      <w:r w:rsidR="000D481E">
        <w:rPr>
          <w:rFonts w:ascii="Times New Roman" w:hAnsi="Times New Roman" w:cs="Times New Roman"/>
        </w:rPr>
        <w:t xml:space="preserve"> </w:t>
      </w:r>
      <w:r w:rsidR="0084428B" w:rsidRPr="0084428B">
        <w:rPr>
          <w:rFonts w:ascii="Times New Roman" w:hAnsi="Times New Roman" w:cs="Times New Roman"/>
        </w:rPr>
        <w:t>and early twentieth century cases implicated the Second Amendment directly, and thus the small number of references in early cases were glancing and largely unilluminating as to the nature and scope of the right protected by the Amendment.</w:t>
      </w:r>
      <w:r w:rsidR="000D481E">
        <w:rPr>
          <w:rFonts w:ascii="Times New Roman" w:hAnsi="Times New Roman" w:cs="Times New Roman"/>
        </w:rPr>
        <w:t xml:space="preserve">  </w:t>
      </w:r>
    </w:p>
    <w:p w14:paraId="4790B74B" w14:textId="77777777" w:rsidR="000D481E" w:rsidRDefault="000D481E" w:rsidP="00AF2CE1">
      <w:pPr>
        <w:rPr>
          <w:rFonts w:ascii="Times New Roman" w:hAnsi="Times New Roman" w:cs="Times New Roman"/>
        </w:rPr>
      </w:pPr>
    </w:p>
    <w:p w14:paraId="15EF9370" w14:textId="72EBD454" w:rsidR="000D481E" w:rsidRDefault="000D481E" w:rsidP="00AF2CE1">
      <w:pPr>
        <w:rPr>
          <w:rFonts w:ascii="Times New Roman" w:hAnsi="Times New Roman" w:cs="Times New Roman"/>
        </w:rPr>
      </w:pPr>
      <w:r w:rsidRPr="000D481E">
        <w:rPr>
          <w:rFonts w:ascii="Times New Roman" w:hAnsi="Times New Roman" w:cs="Times New Roman"/>
        </w:rPr>
        <w:t>Given scant guidance from the Supreme Court, there was no definitive resolution in the twentieth century of what the right protected by the Second Amendment encompasses, and what role, if any, the textual reference to a “</w:t>
      </w:r>
      <w:proofErr w:type="spellStart"/>
      <w:r w:rsidRPr="000D481E">
        <w:rPr>
          <w:rFonts w:ascii="Times New Roman" w:hAnsi="Times New Roman" w:cs="Times New Roman"/>
        </w:rPr>
        <w:t>well regulated</w:t>
      </w:r>
      <w:proofErr w:type="spellEnd"/>
      <w:r w:rsidRPr="000D481E">
        <w:rPr>
          <w:rFonts w:ascii="Times New Roman" w:hAnsi="Times New Roman" w:cs="Times New Roman"/>
        </w:rPr>
        <w:t xml:space="preserve"> Militia” plays in addressing that question. Courts, commentators, and Congress debated, over the course of decades, the meaning of, and relationship between, the</w:t>
      </w:r>
      <w:r>
        <w:rPr>
          <w:rFonts w:ascii="Times New Roman" w:hAnsi="Times New Roman" w:cs="Times New Roman"/>
        </w:rPr>
        <w:t xml:space="preserve"> </w:t>
      </w:r>
      <w:r w:rsidRPr="000D481E">
        <w:rPr>
          <w:rFonts w:ascii="Times New Roman" w:hAnsi="Times New Roman" w:cs="Times New Roman"/>
        </w:rPr>
        <w:t>clauses, primarily with respect to whether (1) in light of the first clause, the Amendment protects a collective right tied to maintaining formal, organized militia units; or (2) in light of the second clause, the Amendment protects an individual right to possess a firearm unconnected with service in a militia</w:t>
      </w:r>
      <w:r>
        <w:rPr>
          <w:rFonts w:ascii="Times New Roman" w:hAnsi="Times New Roman" w:cs="Times New Roman"/>
        </w:rPr>
        <w:t xml:space="preserve">. </w:t>
      </w:r>
    </w:p>
    <w:p w14:paraId="415442CD" w14:textId="77777777" w:rsidR="000D481E" w:rsidRDefault="000D481E" w:rsidP="00AF2CE1">
      <w:pPr>
        <w:rPr>
          <w:rFonts w:ascii="Times New Roman" w:hAnsi="Times New Roman" w:cs="Times New Roman"/>
        </w:rPr>
      </w:pPr>
    </w:p>
    <w:p w14:paraId="30973DEF" w14:textId="24DE03CA" w:rsidR="000D481E" w:rsidRDefault="000D481E" w:rsidP="00AF2CE1">
      <w:pPr>
        <w:rPr>
          <w:rFonts w:ascii="Times New Roman" w:hAnsi="Times New Roman" w:cs="Times New Roman"/>
        </w:rPr>
      </w:pPr>
      <w:r>
        <w:rPr>
          <w:rFonts w:ascii="Times New Roman" w:hAnsi="Times New Roman" w:cs="Times New Roman"/>
        </w:rPr>
        <w:t>In 1939, the Supreme Court first took the question in US v. Miller. The opinion and decision</w:t>
      </w:r>
      <w:r w:rsidRPr="000D481E">
        <w:rPr>
          <w:rFonts w:ascii="Times New Roman" w:hAnsi="Times New Roman" w:cs="Times New Roman"/>
        </w:rPr>
        <w:t xml:space="preserve"> seemed to tie the Second Amendment right “to keep and bear arms” to militia use. Miller involved a federal statute, the National Firearms Act, which required registration of short-barreled shotguns, among other </w:t>
      </w:r>
      <w:r>
        <w:rPr>
          <w:rFonts w:ascii="Times New Roman" w:hAnsi="Times New Roman" w:cs="Times New Roman"/>
        </w:rPr>
        <w:t>firearms</w:t>
      </w:r>
      <w:r w:rsidRPr="000D481E">
        <w:rPr>
          <w:rFonts w:ascii="Times New Roman" w:hAnsi="Times New Roman" w:cs="Times New Roman"/>
        </w:rPr>
        <w:t>.</w:t>
      </w:r>
      <w:r>
        <w:rPr>
          <w:rFonts w:ascii="Times New Roman" w:hAnsi="Times New Roman" w:cs="Times New Roman"/>
        </w:rPr>
        <w:t xml:space="preserve"> </w:t>
      </w:r>
      <w:r w:rsidRPr="000D481E">
        <w:rPr>
          <w:rFonts w:ascii="Times New Roman" w:hAnsi="Times New Roman" w:cs="Times New Roman"/>
        </w:rPr>
        <w:t>After reciting the original provisions of the Constitution dealing with the militia, the Miller Court observed that “[w]</w:t>
      </w:r>
      <w:proofErr w:type="spellStart"/>
      <w:r w:rsidRPr="000D481E">
        <w:rPr>
          <w:rFonts w:ascii="Times New Roman" w:hAnsi="Times New Roman" w:cs="Times New Roman"/>
        </w:rPr>
        <w:t>ith</w:t>
      </w:r>
      <w:proofErr w:type="spellEnd"/>
      <w:r w:rsidRPr="000D481E">
        <w:rPr>
          <w:rFonts w:ascii="Times New Roman" w:hAnsi="Times New Roman" w:cs="Times New Roman"/>
        </w:rPr>
        <w:t xml:space="preserve"> obvious purpose to assure the continuation and render possible the effectiveness of such forces the declaration and guarantee of the Second Amendment were made. It must be interpreted with that end in view.”</w:t>
      </w:r>
      <w:r>
        <w:rPr>
          <w:rFonts w:ascii="Times New Roman" w:hAnsi="Times New Roman" w:cs="Times New Roman"/>
        </w:rPr>
        <w:t xml:space="preserve"> </w:t>
      </w:r>
      <w:r w:rsidRPr="000D481E">
        <w:rPr>
          <w:rFonts w:ascii="Times New Roman" w:hAnsi="Times New Roman" w:cs="Times New Roman"/>
        </w:rPr>
        <w:t xml:space="preserve">The Miller </w:t>
      </w:r>
      <w:r>
        <w:rPr>
          <w:rFonts w:ascii="Times New Roman" w:hAnsi="Times New Roman" w:cs="Times New Roman"/>
        </w:rPr>
        <w:t>decision</w:t>
      </w:r>
      <w:r w:rsidRPr="000D481E">
        <w:rPr>
          <w:rFonts w:ascii="Times New Roman" w:hAnsi="Times New Roman" w:cs="Times New Roman"/>
        </w:rPr>
        <w:t xml:space="preserve"> accordingly rejected the proposition that the federal restriction on short-barreled shotguns violated the Second Amendment, holding that absent evidence “tending to </w:t>
      </w:r>
      <w:r w:rsidRPr="000D481E">
        <w:rPr>
          <w:rFonts w:ascii="Times New Roman" w:hAnsi="Times New Roman" w:cs="Times New Roman"/>
        </w:rPr>
        <w:lastRenderedPageBreak/>
        <w:t>show that possession or use of</w:t>
      </w:r>
      <w:r>
        <w:rPr>
          <w:rFonts w:ascii="Times New Roman" w:hAnsi="Times New Roman" w:cs="Times New Roman"/>
        </w:rPr>
        <w:t>”</w:t>
      </w:r>
      <w:r w:rsidRPr="000D481E">
        <w:rPr>
          <w:rFonts w:ascii="Times New Roman" w:hAnsi="Times New Roman" w:cs="Times New Roman"/>
        </w:rPr>
        <w:t xml:space="preserve"> a short-barreled shotgun “at this time has some reasonable relationship to the preservation or efficiency of a </w:t>
      </w:r>
      <w:proofErr w:type="spellStart"/>
      <w:r w:rsidRPr="000D481E">
        <w:rPr>
          <w:rFonts w:ascii="Times New Roman" w:hAnsi="Times New Roman" w:cs="Times New Roman"/>
        </w:rPr>
        <w:t>well regulated</w:t>
      </w:r>
      <w:proofErr w:type="spellEnd"/>
      <w:r w:rsidRPr="000D481E">
        <w:rPr>
          <w:rFonts w:ascii="Times New Roman" w:hAnsi="Times New Roman" w:cs="Times New Roman"/>
        </w:rPr>
        <w:t xml:space="preserve"> militia, [the Court] cannot say that the Second Amendment guarantees the right to keep and bear such an instrument.”</w:t>
      </w:r>
      <w:r>
        <w:rPr>
          <w:rFonts w:ascii="Times New Roman" w:hAnsi="Times New Roman" w:cs="Times New Roman"/>
        </w:rPr>
        <w:t xml:space="preserve"> With weapons and firearms development across the twentieth century, and subsequent </w:t>
      </w:r>
      <w:r w:rsidR="006247BA">
        <w:rPr>
          <w:rFonts w:ascii="Times New Roman" w:hAnsi="Times New Roman" w:cs="Times New Roman"/>
        </w:rPr>
        <w:t xml:space="preserve">strengthening </w:t>
      </w:r>
      <w:r>
        <w:rPr>
          <w:rFonts w:ascii="Times New Roman" w:hAnsi="Times New Roman" w:cs="Times New Roman"/>
        </w:rPr>
        <w:t>state and local regulations on one’s ability to own a firearm,  t</w:t>
      </w:r>
      <w:r w:rsidRPr="000D481E">
        <w:rPr>
          <w:rFonts w:ascii="Times New Roman" w:hAnsi="Times New Roman" w:cs="Times New Roman"/>
        </w:rPr>
        <w:t xml:space="preserve">he lack of clarity regarding the fundamental nature and scope of the Second Amendment following Miller fueled </w:t>
      </w:r>
      <w:r>
        <w:rPr>
          <w:rFonts w:ascii="Times New Roman" w:hAnsi="Times New Roman" w:cs="Times New Roman"/>
        </w:rPr>
        <w:t xml:space="preserve">strong </w:t>
      </w:r>
      <w:r w:rsidRPr="000D481E">
        <w:rPr>
          <w:rFonts w:ascii="Times New Roman" w:hAnsi="Times New Roman" w:cs="Times New Roman"/>
        </w:rPr>
        <w:t>disagreement</w:t>
      </w:r>
      <w:r w:rsidR="006247BA">
        <w:rPr>
          <w:rFonts w:ascii="Times New Roman" w:hAnsi="Times New Roman" w:cs="Times New Roman"/>
        </w:rPr>
        <w:t xml:space="preserve">, and therefore, attention was paid to the linguistic construction of the amendment. </w:t>
      </w:r>
    </w:p>
    <w:p w14:paraId="73D06931" w14:textId="77777777" w:rsidR="006247BA" w:rsidRDefault="006247BA" w:rsidP="00AF2CE1">
      <w:pPr>
        <w:rPr>
          <w:rFonts w:ascii="Times New Roman" w:hAnsi="Times New Roman" w:cs="Times New Roman"/>
        </w:rPr>
      </w:pPr>
    </w:p>
    <w:p w14:paraId="18F06964" w14:textId="31B142EE" w:rsidR="006247BA" w:rsidRDefault="006247BA" w:rsidP="00AF2CE1">
      <w:pPr>
        <w:rPr>
          <w:rFonts w:ascii="Times New Roman" w:hAnsi="Times New Roman" w:cs="Times New Roman"/>
        </w:rPr>
      </w:pPr>
      <w:r w:rsidRPr="006247BA">
        <w:rPr>
          <w:rFonts w:ascii="Times New Roman" w:hAnsi="Times New Roman" w:cs="Times New Roman"/>
        </w:rPr>
        <w:t>Lower courts and at least one congressional subcommittee weighed in as well. In the ninety-seventh Congress, the Senate Judiciary Committee’s Subcommittee on the Constitution issued a report concluding, among other things, that the Second Amendment protects “a right of the individual citizen to privately possess and carry in a peaceful manner firearms and similar arms.”</w:t>
      </w:r>
      <w:r>
        <w:rPr>
          <w:rFonts w:ascii="Times New Roman" w:hAnsi="Times New Roman" w:cs="Times New Roman"/>
        </w:rPr>
        <w:t xml:space="preserve"> </w:t>
      </w:r>
      <w:r w:rsidRPr="006247BA">
        <w:rPr>
          <w:rFonts w:ascii="Times New Roman" w:hAnsi="Times New Roman" w:cs="Times New Roman"/>
        </w:rPr>
        <w:t>By the turn of the century, most U.S. Courts of Appeals to have considered the matter interpreted the Second Amendment as speaking of a collective right tied to military or militia use of firearms, though a divided panel of the U.S. Court of Appeals for the Fifth Circuit in 2001 reached a contrary conclusion.</w:t>
      </w:r>
      <w:r>
        <w:rPr>
          <w:rFonts w:ascii="Times New Roman" w:hAnsi="Times New Roman" w:cs="Times New Roman"/>
        </w:rPr>
        <w:t xml:space="preserve"> </w:t>
      </w:r>
      <w:r w:rsidRPr="006247BA">
        <w:rPr>
          <w:rFonts w:ascii="Times New Roman" w:hAnsi="Times New Roman" w:cs="Times New Roman"/>
        </w:rPr>
        <w:t>Then, in 2007, a split panel of the D.C. Circuit struck down District of Columbia restrictions on the private possession of handguns as inconsistent with the Second Amendment, and the Supreme Court granted review, leading to the Court’s first significant pronouncements on the Second Amendment in almost seventy years.</w:t>
      </w:r>
      <w:r>
        <w:rPr>
          <w:rFonts w:ascii="Times New Roman" w:hAnsi="Times New Roman" w:cs="Times New Roman"/>
        </w:rPr>
        <w:t xml:space="preserve"> This was the DC v. Heller case.</w:t>
      </w:r>
    </w:p>
    <w:p w14:paraId="4EE6A544" w14:textId="77777777" w:rsidR="006247BA" w:rsidRDefault="006247BA" w:rsidP="00AF2CE1">
      <w:pPr>
        <w:rPr>
          <w:rFonts w:ascii="Times New Roman" w:hAnsi="Times New Roman" w:cs="Times New Roman"/>
        </w:rPr>
      </w:pPr>
    </w:p>
    <w:p w14:paraId="33DF156D" w14:textId="495FB655" w:rsidR="006247BA" w:rsidRDefault="006247BA" w:rsidP="00AF2CE1">
      <w:pPr>
        <w:rPr>
          <w:rFonts w:ascii="Times New Roman" w:hAnsi="Times New Roman" w:cs="Times New Roman"/>
          <w:b/>
          <w:bCs/>
        </w:rPr>
      </w:pPr>
      <w:r>
        <w:rPr>
          <w:rFonts w:ascii="Times New Roman" w:hAnsi="Times New Roman" w:cs="Times New Roman"/>
          <w:b/>
          <w:bCs/>
        </w:rPr>
        <w:t>JUDICIAL INTERPRETATION</w:t>
      </w:r>
    </w:p>
    <w:p w14:paraId="4F5E46F7" w14:textId="77777777" w:rsidR="006247BA" w:rsidRDefault="006247BA" w:rsidP="00AF2CE1">
      <w:pPr>
        <w:rPr>
          <w:rFonts w:ascii="Times New Roman" w:hAnsi="Times New Roman" w:cs="Times New Roman"/>
          <w:b/>
          <w:bCs/>
        </w:rPr>
      </w:pPr>
    </w:p>
    <w:p w14:paraId="060645A2" w14:textId="0E5BFE79" w:rsidR="006247BA" w:rsidRDefault="006247BA" w:rsidP="006247BA">
      <w:pPr>
        <w:rPr>
          <w:rFonts w:ascii="Times New Roman" w:hAnsi="Times New Roman" w:cs="Times New Roman"/>
        </w:rPr>
      </w:pPr>
      <w:r>
        <w:rPr>
          <w:rFonts w:ascii="Times New Roman" w:hAnsi="Times New Roman" w:cs="Times New Roman"/>
        </w:rPr>
        <w:t>Over the centuries, lawyers and jurists are asked to consider how one might interpret the statutory (laws passed through a legislative body) or caselaw (opinions from courts). Many countries, such as the United Kingdom and Israel do not have constitutions; instead, they fall back on legislative acts or in the case of criminal law, often through centuries of case law. How is one supposed to interpret text based on this? This becomes the subfield of legal linguistics called j</w:t>
      </w:r>
      <w:r w:rsidRPr="006247BA">
        <w:rPr>
          <w:rFonts w:ascii="Times New Roman" w:hAnsi="Times New Roman" w:cs="Times New Roman"/>
        </w:rPr>
        <w:t>udicial interpretation</w:t>
      </w:r>
      <w:r>
        <w:rPr>
          <w:rFonts w:ascii="Times New Roman" w:hAnsi="Times New Roman" w:cs="Times New Roman"/>
        </w:rPr>
        <w:t>. Judicial interpretation</w:t>
      </w:r>
      <w:r w:rsidRPr="006247BA">
        <w:rPr>
          <w:rFonts w:ascii="Times New Roman" w:hAnsi="Times New Roman" w:cs="Times New Roman"/>
        </w:rPr>
        <w:t xml:space="preserve"> refers to how a judge interprets laws. Different judges interpret the laws of their state or the country in different ways. Some judges are said to interpret laws in ways that cannot be sustained by the plain meaning of the law; at other times, some judges are said to "legislate from the bench." These judicial behaviors are sometimes referred to as judicial activism, which is contrasted to judicial restraint as a way of interpreting both what laws say and how much freedom judges </w:t>
      </w:r>
      <w:proofErr w:type="gramStart"/>
      <w:r w:rsidRPr="006247BA">
        <w:rPr>
          <w:rFonts w:ascii="Times New Roman" w:hAnsi="Times New Roman" w:cs="Times New Roman"/>
        </w:rPr>
        <w:t>have to</w:t>
      </w:r>
      <w:proofErr w:type="gramEnd"/>
      <w:r w:rsidRPr="006247BA">
        <w:rPr>
          <w:rFonts w:ascii="Times New Roman" w:hAnsi="Times New Roman" w:cs="Times New Roman"/>
        </w:rPr>
        <w:t xml:space="preserve"> create new laws from the bench.</w:t>
      </w:r>
      <w:r>
        <w:rPr>
          <w:rFonts w:ascii="Times New Roman" w:hAnsi="Times New Roman" w:cs="Times New Roman"/>
        </w:rPr>
        <w:t xml:space="preserve"> There are various methods, where a jurist often attaches oneself to.  The major ones in the United States </w:t>
      </w:r>
      <w:proofErr w:type="gramStart"/>
      <w:r>
        <w:rPr>
          <w:rFonts w:ascii="Times New Roman" w:hAnsi="Times New Roman" w:cs="Times New Roman"/>
        </w:rPr>
        <w:t>are,</w:t>
      </w:r>
      <w:proofErr w:type="gramEnd"/>
      <w:r>
        <w:rPr>
          <w:rFonts w:ascii="Times New Roman" w:hAnsi="Times New Roman" w:cs="Times New Roman"/>
        </w:rPr>
        <w:t xml:space="preserve"> textualism, originalism, strict constructionism, and functionalism. </w:t>
      </w:r>
    </w:p>
    <w:p w14:paraId="568D33FD" w14:textId="77777777" w:rsidR="006247BA" w:rsidRDefault="006247BA" w:rsidP="006247BA">
      <w:pPr>
        <w:rPr>
          <w:rFonts w:ascii="Times New Roman" w:hAnsi="Times New Roman" w:cs="Times New Roman"/>
        </w:rPr>
      </w:pPr>
    </w:p>
    <w:p w14:paraId="48F05850" w14:textId="3B3FA687" w:rsidR="006247BA" w:rsidRDefault="006247BA" w:rsidP="006247BA">
      <w:pPr>
        <w:rPr>
          <w:rFonts w:ascii="Times New Roman" w:hAnsi="Times New Roman" w:cs="Times New Roman"/>
        </w:rPr>
      </w:pPr>
      <w:r>
        <w:rPr>
          <w:rFonts w:ascii="Times New Roman" w:hAnsi="Times New Roman" w:cs="Times New Roman"/>
        </w:rPr>
        <w:t>T</w:t>
      </w:r>
      <w:r w:rsidRPr="006247BA">
        <w:rPr>
          <w:rFonts w:ascii="Times New Roman" w:hAnsi="Times New Roman" w:cs="Times New Roman"/>
        </w:rPr>
        <w:t xml:space="preserve">extualism </w:t>
      </w:r>
      <w:r>
        <w:rPr>
          <w:rFonts w:ascii="Times New Roman" w:hAnsi="Times New Roman" w:cs="Times New Roman"/>
        </w:rPr>
        <w:t>is a method</w:t>
      </w:r>
      <w:r w:rsidRPr="006247BA">
        <w:rPr>
          <w:rFonts w:ascii="Times New Roman" w:hAnsi="Times New Roman" w:cs="Times New Roman"/>
        </w:rPr>
        <w:t xml:space="preserve"> whereby the plain text of a statute is used to determine the meaning of the legislation</w:t>
      </w:r>
      <w:r>
        <w:rPr>
          <w:rFonts w:ascii="Times New Roman" w:hAnsi="Times New Roman" w:cs="Times New Roman"/>
        </w:rPr>
        <w:t xml:space="preserve"> or opinion of the jurist</w:t>
      </w:r>
      <w:r w:rsidRPr="006247BA">
        <w:rPr>
          <w:rFonts w:ascii="Times New Roman" w:hAnsi="Times New Roman" w:cs="Times New Roman"/>
        </w:rPr>
        <w:t>. Instead of attempting to determine statutory purpose or legislative intent, textualists adhere to the objective meaning of the legal text. Textualism may also refer to a set of practical techniques used by jurists to determine the application of a statute through close consideration of its text.</w:t>
      </w:r>
      <w:r w:rsidR="002660C5">
        <w:rPr>
          <w:rFonts w:ascii="Times New Roman" w:hAnsi="Times New Roman" w:cs="Times New Roman"/>
        </w:rPr>
        <w:t xml:space="preserve"> T</w:t>
      </w:r>
      <w:r w:rsidR="002660C5" w:rsidRPr="002660C5">
        <w:rPr>
          <w:rFonts w:ascii="Times New Roman" w:hAnsi="Times New Roman" w:cs="Times New Roman"/>
        </w:rPr>
        <w:t xml:space="preserve">extualism is consistent with the Plain Meaning Rule. The plain meaning of a word is determined by its dictionary definition, its placement in the body of the text, and its </w:t>
      </w:r>
      <w:r w:rsidR="002660C5">
        <w:rPr>
          <w:rFonts w:ascii="Times New Roman" w:hAnsi="Times New Roman" w:cs="Times New Roman"/>
        </w:rPr>
        <w:t xml:space="preserve">layperson, or </w:t>
      </w:r>
      <w:r w:rsidR="002660C5" w:rsidRPr="002660C5">
        <w:rPr>
          <w:rFonts w:ascii="Times New Roman" w:hAnsi="Times New Roman" w:cs="Times New Roman"/>
        </w:rPr>
        <w:t>common</w:t>
      </w:r>
      <w:r w:rsidR="002660C5">
        <w:rPr>
          <w:rFonts w:ascii="Times New Roman" w:hAnsi="Times New Roman" w:cs="Times New Roman"/>
        </w:rPr>
        <w:t>,</w:t>
      </w:r>
      <w:r w:rsidR="002660C5" w:rsidRPr="002660C5">
        <w:rPr>
          <w:rFonts w:ascii="Times New Roman" w:hAnsi="Times New Roman" w:cs="Times New Roman"/>
        </w:rPr>
        <w:t xml:space="preserve"> usage at the time the statute was written. A judge that relies solely on the literal or plain meaning of a text does not consider supporting or supplementary sources, such as modern social policy or legislative history, when interpreting a </w:t>
      </w:r>
      <w:r w:rsidR="002660C5" w:rsidRPr="002660C5">
        <w:rPr>
          <w:rFonts w:ascii="Times New Roman" w:hAnsi="Times New Roman" w:cs="Times New Roman"/>
        </w:rPr>
        <w:lastRenderedPageBreak/>
        <w:t>statute</w:t>
      </w:r>
      <w:r w:rsidR="002660C5">
        <w:rPr>
          <w:rFonts w:ascii="Times New Roman" w:hAnsi="Times New Roman" w:cs="Times New Roman"/>
        </w:rPr>
        <w:t xml:space="preserve">. It assumes meaning must be intuited given legal centrism, that people are made to follow the law, and behaviors adapt to the law, not in reverse. In other words, the chain of causation is that law is passed or developed, and people adjust their behavior </w:t>
      </w:r>
      <w:r w:rsidR="00C329CD">
        <w:rPr>
          <w:rFonts w:ascii="Times New Roman" w:hAnsi="Times New Roman" w:cs="Times New Roman"/>
        </w:rPr>
        <w:t>considering</w:t>
      </w:r>
      <w:r w:rsidR="002660C5">
        <w:rPr>
          <w:rFonts w:ascii="Times New Roman" w:hAnsi="Times New Roman" w:cs="Times New Roman"/>
        </w:rPr>
        <w:t xml:space="preserve"> new law. This is contrasted with customary law, which is that law is retrospective discipline, and most of the law is adaptive to human behavior (I am strongly in this camp, though I allow for some edge cases that modify this). Textualism states that we must follow how</w:t>
      </w:r>
      <w:r w:rsidR="002660C5">
        <w:rPr>
          <w:rFonts w:ascii="Times New Roman" w:hAnsi="Times New Roman" w:cs="Times New Roman"/>
        </w:rPr>
        <w:t xml:space="preserve"> </w:t>
      </w:r>
      <w:r w:rsidR="002660C5">
        <w:rPr>
          <w:rFonts w:ascii="Times New Roman" w:hAnsi="Times New Roman" w:cs="Times New Roman"/>
        </w:rPr>
        <w:t xml:space="preserve">a written </w:t>
      </w:r>
      <w:r w:rsidR="002660C5">
        <w:rPr>
          <w:rFonts w:ascii="Times New Roman" w:hAnsi="Times New Roman" w:cs="Times New Roman"/>
        </w:rPr>
        <w:t xml:space="preserve">most intuitively states. </w:t>
      </w:r>
      <w:r w:rsidR="002660C5">
        <w:rPr>
          <w:rFonts w:ascii="Times New Roman" w:hAnsi="Times New Roman" w:cs="Times New Roman"/>
        </w:rPr>
        <w:t xml:space="preserve">It is fast becoming a more important legal interpretative lens. </w:t>
      </w:r>
    </w:p>
    <w:p w14:paraId="2D438D7D" w14:textId="77777777" w:rsidR="00D919E7" w:rsidRDefault="00D919E7" w:rsidP="00D919E7">
      <w:pPr>
        <w:rPr>
          <w:rFonts w:ascii="Times New Roman" w:hAnsi="Times New Roman" w:cs="Times New Roman"/>
        </w:rPr>
      </w:pPr>
    </w:p>
    <w:p w14:paraId="3F9AB5F7" w14:textId="7679FBB9" w:rsidR="00D919E7" w:rsidRDefault="00D919E7" w:rsidP="006247BA">
      <w:pPr>
        <w:rPr>
          <w:rFonts w:ascii="Times New Roman" w:hAnsi="Times New Roman" w:cs="Times New Roman"/>
        </w:rPr>
      </w:pPr>
      <w:r>
        <w:rPr>
          <w:rFonts w:ascii="Times New Roman" w:hAnsi="Times New Roman" w:cs="Times New Roman"/>
        </w:rPr>
        <w:t xml:space="preserve">One is right to suggest it might be that </w:t>
      </w:r>
      <w:r>
        <w:rPr>
          <w:rFonts w:ascii="Times New Roman" w:hAnsi="Times New Roman" w:cs="Times New Roman"/>
        </w:rPr>
        <w:t>the second amendment</w:t>
      </w:r>
      <w:r>
        <w:rPr>
          <w:rFonts w:ascii="Times New Roman" w:hAnsi="Times New Roman" w:cs="Times New Roman"/>
        </w:rPr>
        <w:t xml:space="preserve"> syntax construction of sentences at the time its writing in 1790. This seems to not be true, given our context. Moreover, as compared to other amendments, complicated syntax is not an issue.  But this also does not matter</w:t>
      </w:r>
      <w:r>
        <w:rPr>
          <w:rFonts w:ascii="Times New Roman" w:hAnsi="Times New Roman" w:cs="Times New Roman"/>
        </w:rPr>
        <w:t xml:space="preserve"> to our case, given that textualism wants us to consider what the intuitional meaning of the sentence is. Therefore, we must defer to how one would interpret it now. </w:t>
      </w:r>
    </w:p>
    <w:p w14:paraId="30997FEB" w14:textId="77777777" w:rsidR="002660C5" w:rsidRDefault="002660C5" w:rsidP="006247BA">
      <w:pPr>
        <w:rPr>
          <w:rFonts w:ascii="Times New Roman" w:hAnsi="Times New Roman" w:cs="Times New Roman"/>
        </w:rPr>
      </w:pPr>
    </w:p>
    <w:p w14:paraId="5819E727" w14:textId="558B6EC3" w:rsidR="002660C5" w:rsidRPr="00993B9F" w:rsidRDefault="002660C5" w:rsidP="006247BA">
      <w:pPr>
        <w:rPr>
          <w:rFonts w:ascii="Times New Roman" w:hAnsi="Times New Roman" w:cs="Times New Roman"/>
          <w:b/>
          <w:bCs/>
        </w:rPr>
      </w:pPr>
      <w:r w:rsidRPr="00993B9F">
        <w:rPr>
          <w:rFonts w:ascii="Times New Roman" w:hAnsi="Times New Roman" w:cs="Times New Roman"/>
          <w:b/>
          <w:bCs/>
        </w:rPr>
        <w:t>SECOND AMENDMENT TEXTUALISM - DEPENDENCIES</w:t>
      </w:r>
    </w:p>
    <w:p w14:paraId="1CA4562A" w14:textId="77777777" w:rsidR="002660C5" w:rsidRPr="00993B9F" w:rsidRDefault="002660C5" w:rsidP="006247BA">
      <w:pPr>
        <w:rPr>
          <w:rFonts w:ascii="Times New Roman" w:hAnsi="Times New Roman" w:cs="Times New Roman"/>
          <w:b/>
          <w:bCs/>
        </w:rPr>
      </w:pPr>
    </w:p>
    <w:p w14:paraId="5210C2DE" w14:textId="54D799AB" w:rsidR="00993B9F" w:rsidRPr="00993B9F" w:rsidRDefault="002660C5" w:rsidP="00AF2CE1">
      <w:pPr>
        <w:rPr>
          <w:rFonts w:ascii="Times New Roman" w:hAnsi="Times New Roman" w:cs="Times New Roman"/>
        </w:rPr>
      </w:pPr>
      <w:r w:rsidRPr="00993B9F">
        <w:rPr>
          <w:rFonts w:ascii="Times New Roman" w:hAnsi="Times New Roman" w:cs="Times New Roman"/>
        </w:rPr>
        <w:t>Given the position of the commas</w:t>
      </w:r>
      <w:r w:rsidR="00C329CD">
        <w:rPr>
          <w:rFonts w:ascii="Times New Roman" w:hAnsi="Times New Roman" w:cs="Times New Roman"/>
        </w:rPr>
        <w:t xml:space="preserve"> </w:t>
      </w:r>
      <w:r w:rsidRPr="00993B9F">
        <w:rPr>
          <w:rFonts w:ascii="Times New Roman" w:hAnsi="Times New Roman" w:cs="Times New Roman"/>
        </w:rPr>
        <w:t xml:space="preserve">and the rise of textualism as the lens to which jurists interpret </w:t>
      </w:r>
      <w:r w:rsidR="00C329CD">
        <w:rPr>
          <w:rFonts w:ascii="Times New Roman" w:hAnsi="Times New Roman" w:cs="Times New Roman"/>
        </w:rPr>
        <w:t xml:space="preserve">jurisprudence, </w:t>
      </w:r>
      <w:r w:rsidRPr="00C329CD">
        <w:rPr>
          <w:rFonts w:ascii="Times New Roman" w:hAnsi="Times New Roman" w:cs="Times New Roman"/>
          <w:i/>
          <w:iCs/>
        </w:rPr>
        <w:t>it is crucial to consider how lay persons interpret the</w:t>
      </w:r>
      <w:r w:rsidR="00C329CD" w:rsidRPr="00C329CD">
        <w:rPr>
          <w:rFonts w:ascii="Times New Roman" w:hAnsi="Times New Roman" w:cs="Times New Roman"/>
          <w:i/>
          <w:iCs/>
        </w:rPr>
        <w:t>ses</w:t>
      </w:r>
      <w:r w:rsidRPr="00C329CD">
        <w:rPr>
          <w:rFonts w:ascii="Times New Roman" w:hAnsi="Times New Roman" w:cs="Times New Roman"/>
          <w:i/>
          <w:iCs/>
        </w:rPr>
        <w:t xml:space="preserve"> dependencies</w:t>
      </w:r>
      <w:r w:rsidR="00E4721A" w:rsidRPr="00C329CD">
        <w:rPr>
          <w:rFonts w:ascii="Times New Roman" w:hAnsi="Times New Roman" w:cs="Times New Roman"/>
          <w:i/>
          <w:iCs/>
        </w:rPr>
        <w:t>.</w:t>
      </w:r>
      <w:r w:rsidR="00E4721A" w:rsidRPr="00993B9F">
        <w:rPr>
          <w:rFonts w:ascii="Times New Roman" w:hAnsi="Times New Roman" w:cs="Times New Roman"/>
        </w:rPr>
        <w:t xml:space="preserve"> </w:t>
      </w:r>
      <w:r w:rsidR="00C329CD">
        <w:rPr>
          <w:rFonts w:ascii="Times New Roman" w:hAnsi="Times New Roman" w:cs="Times New Roman"/>
        </w:rPr>
        <w:t xml:space="preserve">We want to study this because if interpretation or the further writing of amendments to the US Constitution yields complicated syntactic structures, it might be </w:t>
      </w:r>
      <w:r w:rsidR="00E4721A" w:rsidRPr="00993B9F">
        <w:rPr>
          <w:rFonts w:ascii="Times New Roman" w:hAnsi="Times New Roman" w:cs="Times New Roman"/>
        </w:rPr>
        <w:br/>
      </w:r>
    </w:p>
    <w:p w14:paraId="1B34BD42" w14:textId="77777777" w:rsidR="00993B9F" w:rsidRPr="00993B9F" w:rsidRDefault="00993B9F" w:rsidP="00993B9F">
      <w:pPr>
        <w:ind w:left="1440" w:hanging="1440"/>
        <w:rPr>
          <w:rFonts w:ascii="Times New Roman" w:hAnsi="Times New Roman" w:cs="Times New Roman"/>
          <w:b/>
          <w:bCs/>
        </w:rPr>
      </w:pPr>
      <w:r w:rsidRPr="00993B9F">
        <w:rPr>
          <w:rFonts w:ascii="Times New Roman" w:hAnsi="Times New Roman" w:cs="Times New Roman"/>
          <w:b/>
          <w:bCs/>
        </w:rPr>
        <w:t>Interpretation 1: Conditional Dependency (Militia Clause as a Justification):</w:t>
      </w:r>
    </w:p>
    <w:p w14:paraId="396612D8" w14:textId="77777777" w:rsidR="00993B9F" w:rsidRDefault="00993B9F" w:rsidP="00993B9F">
      <w:pPr>
        <w:rPr>
          <w:rFonts w:ascii="Times New Roman" w:hAnsi="Times New Roman" w:cs="Times New Roman"/>
          <w:b/>
          <w:bCs/>
        </w:rPr>
      </w:pPr>
    </w:p>
    <w:p w14:paraId="011597FD" w14:textId="3E1D17E0" w:rsidR="00682FCC" w:rsidRPr="00993B9F" w:rsidRDefault="00993B9F" w:rsidP="00682FCC">
      <w:pPr>
        <w:rPr>
          <w:rFonts w:ascii="Times New Roman" w:hAnsi="Times New Roman" w:cs="Times New Roman"/>
        </w:rPr>
      </w:pPr>
      <w:r w:rsidRPr="00993B9F">
        <w:rPr>
          <w:rFonts w:ascii="Times New Roman" w:hAnsi="Times New Roman" w:cs="Times New Roman"/>
        </w:rPr>
        <w:t>The introductory clause (</w:t>
      </w:r>
      <w:r>
        <w:rPr>
          <w:rFonts w:ascii="Times New Roman" w:hAnsi="Times New Roman" w:cs="Times New Roman"/>
        </w:rPr>
        <w:t>“</w:t>
      </w:r>
      <w:r w:rsidRPr="00993B9F">
        <w:rPr>
          <w:rFonts w:ascii="Times New Roman" w:hAnsi="Times New Roman" w:cs="Times New Roman"/>
        </w:rPr>
        <w:t>A well regulated Militia, being necessary...") is seen as a condition or justification for the operative clause ("the right of the people to keep and bear Arms...").</w:t>
      </w:r>
      <w:r>
        <w:rPr>
          <w:rFonts w:ascii="Times New Roman" w:hAnsi="Times New Roman" w:cs="Times New Roman"/>
        </w:rPr>
        <w:t xml:space="preserve"> </w:t>
      </w:r>
      <w:r w:rsidRPr="00993B9F">
        <w:rPr>
          <w:rFonts w:ascii="Times New Roman" w:hAnsi="Times New Roman" w:cs="Times New Roman"/>
        </w:rPr>
        <w:t>In this interpretation, the right to bear arms is explicitly tied to the necessity of a "well regulated Militia.</w:t>
      </w:r>
      <w:r>
        <w:rPr>
          <w:rFonts w:ascii="Times New Roman" w:hAnsi="Times New Roman" w:cs="Times New Roman"/>
        </w:rPr>
        <w:t xml:space="preserve">” </w:t>
      </w:r>
      <w:r w:rsidRPr="00993B9F">
        <w:rPr>
          <w:rFonts w:ascii="Times New Roman" w:hAnsi="Times New Roman" w:cs="Times New Roman"/>
        </w:rPr>
        <w:t>This view suggests that the Second Amendment protects the right to bear arms primarily in the context of maintaining a militia, potentially limiting the right to arms to this purpose.</w:t>
      </w:r>
      <w:r w:rsidR="00682FCC">
        <w:rPr>
          <w:rFonts w:ascii="Times New Roman" w:hAnsi="Times New Roman" w:cs="Times New Roman"/>
        </w:rPr>
        <w:t xml:space="preserve"> </w:t>
      </w:r>
      <w:r w:rsidR="00682FCC">
        <w:rPr>
          <w:rFonts w:ascii="Times New Roman" w:hAnsi="Times New Roman" w:cs="Times New Roman"/>
        </w:rPr>
        <w:t xml:space="preserve">This is the interpretation of the </w:t>
      </w:r>
      <w:r w:rsidR="00682FCC">
        <w:rPr>
          <w:rFonts w:ascii="Times New Roman" w:hAnsi="Times New Roman" w:cs="Times New Roman"/>
        </w:rPr>
        <w:t>earlier</w:t>
      </w:r>
      <w:r w:rsidR="00682FCC">
        <w:rPr>
          <w:rFonts w:ascii="Times New Roman" w:hAnsi="Times New Roman" w:cs="Times New Roman"/>
        </w:rPr>
        <w:t xml:space="preserve"> Second Amendment jurisprudence.</w:t>
      </w:r>
    </w:p>
    <w:p w14:paraId="31A97F5F" w14:textId="77777777" w:rsidR="00993B9F" w:rsidRPr="00993B9F" w:rsidRDefault="00993B9F" w:rsidP="00993B9F">
      <w:pPr>
        <w:rPr>
          <w:rFonts w:ascii="Times New Roman" w:hAnsi="Times New Roman" w:cs="Times New Roman"/>
        </w:rPr>
      </w:pPr>
    </w:p>
    <w:p w14:paraId="1615BAA8" w14:textId="77777777" w:rsidR="00993B9F" w:rsidRPr="00993B9F" w:rsidRDefault="00993B9F" w:rsidP="00993B9F">
      <w:pPr>
        <w:ind w:left="1440" w:hanging="1440"/>
        <w:rPr>
          <w:rFonts w:ascii="Times New Roman" w:hAnsi="Times New Roman" w:cs="Times New Roman"/>
          <w:b/>
          <w:bCs/>
        </w:rPr>
      </w:pPr>
      <w:r w:rsidRPr="00993B9F">
        <w:rPr>
          <w:rFonts w:ascii="Times New Roman" w:hAnsi="Times New Roman" w:cs="Times New Roman"/>
          <w:b/>
          <w:bCs/>
        </w:rPr>
        <w:t>Interpretation 2: Independent Clauses (Militia Clause as a Prefatory Statement):</w:t>
      </w:r>
    </w:p>
    <w:p w14:paraId="6E1690DF" w14:textId="77777777" w:rsidR="00993B9F" w:rsidRDefault="00993B9F" w:rsidP="00993B9F">
      <w:pPr>
        <w:rPr>
          <w:rFonts w:ascii="Times New Roman" w:hAnsi="Times New Roman" w:cs="Times New Roman"/>
          <w:b/>
          <w:bCs/>
        </w:rPr>
      </w:pPr>
    </w:p>
    <w:p w14:paraId="3C820B7D" w14:textId="5E23EE0B" w:rsidR="00993B9F" w:rsidRDefault="00993B9F" w:rsidP="00993B9F">
      <w:pPr>
        <w:rPr>
          <w:rFonts w:ascii="Times New Roman" w:hAnsi="Times New Roman" w:cs="Times New Roman"/>
        </w:rPr>
      </w:pPr>
      <w:r w:rsidRPr="00993B9F">
        <w:rPr>
          <w:rFonts w:ascii="Times New Roman" w:hAnsi="Times New Roman" w:cs="Times New Roman"/>
        </w:rPr>
        <w:t>The introductory clause is seen as a prefatory or explanatory statement that does not restrict the operative clause. The main clause ("the right of the people to keep and bear Arms, shall not be infringed") stands independently.</w:t>
      </w:r>
      <w:r>
        <w:rPr>
          <w:rFonts w:ascii="Times New Roman" w:hAnsi="Times New Roman" w:cs="Times New Roman"/>
        </w:rPr>
        <w:t xml:space="preserve"> </w:t>
      </w:r>
      <w:r w:rsidRPr="00993B9F">
        <w:rPr>
          <w:rFonts w:ascii="Times New Roman" w:hAnsi="Times New Roman" w:cs="Times New Roman"/>
        </w:rPr>
        <w:t>This view supports the idea that the right to bear arms is not contingent on militia service, but rather a general right of the people.</w:t>
      </w:r>
      <w:r>
        <w:rPr>
          <w:rFonts w:ascii="Times New Roman" w:hAnsi="Times New Roman" w:cs="Times New Roman"/>
        </w:rPr>
        <w:t xml:space="preserve"> </w:t>
      </w:r>
      <w:r w:rsidRPr="00993B9F">
        <w:rPr>
          <w:rFonts w:ascii="Times New Roman" w:hAnsi="Times New Roman" w:cs="Times New Roman"/>
        </w:rPr>
        <w:t>In a dependency tree, the introductory clause would be loosely connected or parallel to the main clause, with minimal direct syntactic dependency.</w:t>
      </w:r>
      <w:r w:rsidR="00682FCC">
        <w:rPr>
          <w:rFonts w:ascii="Times New Roman" w:hAnsi="Times New Roman" w:cs="Times New Roman"/>
        </w:rPr>
        <w:t xml:space="preserve"> This is the interpretation of the later Second Amendment jurisprudence.</w:t>
      </w:r>
    </w:p>
    <w:p w14:paraId="4624A379" w14:textId="77777777" w:rsidR="00682FCC" w:rsidRDefault="00682FCC" w:rsidP="00993B9F">
      <w:pPr>
        <w:rPr>
          <w:rFonts w:ascii="Times New Roman" w:hAnsi="Times New Roman" w:cs="Times New Roman"/>
        </w:rPr>
      </w:pPr>
    </w:p>
    <w:p w14:paraId="49C6D96C" w14:textId="71E227BB" w:rsidR="00682FCC" w:rsidRDefault="00682FCC" w:rsidP="00993B9F">
      <w:pPr>
        <w:rPr>
          <w:rFonts w:ascii="Times New Roman" w:hAnsi="Times New Roman" w:cs="Times New Roman"/>
        </w:rPr>
      </w:pPr>
      <w:r>
        <w:rPr>
          <w:rFonts w:ascii="Times New Roman" w:hAnsi="Times New Roman" w:cs="Times New Roman"/>
        </w:rPr>
        <w:t xml:space="preserve">Understanding lay intuitions of how people interpret these dependencies is crucial. You can see in the </w:t>
      </w:r>
      <w:proofErr w:type="spellStart"/>
      <w:r>
        <w:rPr>
          <w:rFonts w:ascii="Times New Roman" w:hAnsi="Times New Roman" w:cs="Times New Roman"/>
        </w:rPr>
        <w:t>Github</w:t>
      </w:r>
      <w:proofErr w:type="spellEnd"/>
      <w:r>
        <w:rPr>
          <w:rFonts w:ascii="Times New Roman" w:hAnsi="Times New Roman" w:cs="Times New Roman"/>
        </w:rPr>
        <w:t xml:space="preserve"> page (</w:t>
      </w:r>
      <w:hyperlink r:id="rId5" w:history="1">
        <w:r w:rsidRPr="006148C2">
          <w:rPr>
            <w:rStyle w:val="Hyperlink"/>
            <w:rFonts w:ascii="Times New Roman" w:hAnsi="Times New Roman" w:cs="Times New Roman"/>
          </w:rPr>
          <w:t>https://github.com/dgkamper/secondamendmentdependencies</w:t>
        </w:r>
      </w:hyperlink>
      <w:r>
        <w:rPr>
          <w:rFonts w:ascii="Times New Roman" w:hAnsi="Times New Roman" w:cs="Times New Roman"/>
        </w:rPr>
        <w:t xml:space="preserve">) that there are different mappings.  This goes to the heart of the second amendment analysis question. </w:t>
      </w:r>
    </w:p>
    <w:p w14:paraId="55A4C93C" w14:textId="77777777" w:rsidR="00A96A20" w:rsidRDefault="00A96A20" w:rsidP="00993B9F">
      <w:pPr>
        <w:rPr>
          <w:rFonts w:ascii="Times New Roman" w:hAnsi="Times New Roman" w:cs="Times New Roman"/>
        </w:rPr>
      </w:pPr>
    </w:p>
    <w:p w14:paraId="35AD8323" w14:textId="77777777" w:rsidR="00AF2CE1" w:rsidRDefault="00AF2CE1" w:rsidP="00AF2CE1">
      <w:pPr>
        <w:ind w:left="1440" w:hanging="1440"/>
        <w:rPr>
          <w:rFonts w:ascii="Times New Roman" w:hAnsi="Times New Roman" w:cs="Times New Roman"/>
        </w:rPr>
      </w:pPr>
    </w:p>
    <w:p w14:paraId="501D3614" w14:textId="1EEDA117" w:rsidR="00A96A20" w:rsidRDefault="00DB7AC5" w:rsidP="00852DA0">
      <w:pPr>
        <w:ind w:left="1440" w:hanging="1440"/>
        <w:rPr>
          <w:rFonts w:ascii="Times New Roman" w:hAnsi="Times New Roman" w:cs="Times New Roman"/>
          <w:b/>
          <w:bCs/>
        </w:rPr>
      </w:pPr>
      <w:r>
        <w:rPr>
          <w:rFonts w:ascii="Times New Roman" w:hAnsi="Times New Roman" w:cs="Times New Roman"/>
          <w:b/>
          <w:bCs/>
        </w:rPr>
        <w:t xml:space="preserve">STUDY DESIGN </w:t>
      </w:r>
      <w:r w:rsidR="003D6520">
        <w:rPr>
          <w:rFonts w:ascii="Times New Roman" w:hAnsi="Times New Roman" w:cs="Times New Roman"/>
          <w:b/>
          <w:bCs/>
        </w:rPr>
        <w:t>AND STIMULI</w:t>
      </w:r>
    </w:p>
    <w:p w14:paraId="22707B1F" w14:textId="77777777" w:rsidR="00852DA0" w:rsidRDefault="00852DA0" w:rsidP="00852DA0">
      <w:pPr>
        <w:ind w:left="1440" w:hanging="1440"/>
        <w:rPr>
          <w:rFonts w:ascii="Times New Roman" w:hAnsi="Times New Roman" w:cs="Times New Roman"/>
          <w:b/>
          <w:bCs/>
        </w:rPr>
      </w:pPr>
    </w:p>
    <w:p w14:paraId="36B7F12B" w14:textId="68DBF506" w:rsidR="003D6520" w:rsidRDefault="00852DA0" w:rsidP="003D6520">
      <w:pPr>
        <w:rPr>
          <w:rFonts w:ascii="Times New Roman" w:hAnsi="Times New Roman" w:cs="Times New Roman"/>
        </w:rPr>
      </w:pPr>
      <w:r>
        <w:rPr>
          <w:rFonts w:ascii="Times New Roman" w:hAnsi="Times New Roman" w:cs="Times New Roman"/>
        </w:rPr>
        <w:t xml:space="preserve">Our independent and dependent variables are such that </w:t>
      </w:r>
      <w:r w:rsidR="003D6520">
        <w:rPr>
          <w:rFonts w:ascii="Times New Roman" w:hAnsi="Times New Roman" w:cs="Times New Roman"/>
        </w:rPr>
        <w:t>we can condition our understanding. We want to better understand what lay interpretations of the second amendment might be given its confusing structure, given the odd dependencies. Our stimuli are a set of twenty sentences</w:t>
      </w:r>
      <w:r w:rsidR="00DB7AC5">
        <w:rPr>
          <w:rFonts w:ascii="Times New Roman" w:hAnsi="Times New Roman" w:cs="Times New Roman"/>
        </w:rPr>
        <w:t xml:space="preserve"> found at the </w:t>
      </w:r>
      <w:proofErr w:type="spellStart"/>
      <w:r w:rsidR="00DB7AC5">
        <w:rPr>
          <w:rFonts w:ascii="Times New Roman" w:hAnsi="Times New Roman" w:cs="Times New Roman"/>
        </w:rPr>
        <w:t>github</w:t>
      </w:r>
      <w:proofErr w:type="spellEnd"/>
      <w:r w:rsidR="00DB7AC5">
        <w:rPr>
          <w:rFonts w:ascii="Times New Roman" w:hAnsi="Times New Roman" w:cs="Times New Roman"/>
        </w:rPr>
        <w:t xml:space="preserve"> link: </w:t>
      </w:r>
      <w:hyperlink r:id="rId6" w:history="1">
        <w:r w:rsidR="00DB7AC5" w:rsidRPr="006148C2">
          <w:rPr>
            <w:rStyle w:val="Hyperlink"/>
            <w:rFonts w:ascii="Times New Roman" w:hAnsi="Times New Roman" w:cs="Times New Roman"/>
          </w:rPr>
          <w:t>https://github.com/dgkamper/secondamendmentdependencies</w:t>
        </w:r>
      </w:hyperlink>
      <w:r w:rsidR="00DB7AC5">
        <w:rPr>
          <w:rFonts w:ascii="Times New Roman" w:hAnsi="Times New Roman" w:cs="Times New Roman"/>
        </w:rPr>
        <w:t>.</w:t>
      </w:r>
    </w:p>
    <w:p w14:paraId="014B1E83" w14:textId="77777777" w:rsidR="00DB7AC5" w:rsidRDefault="00DB7AC5" w:rsidP="003D6520">
      <w:pPr>
        <w:rPr>
          <w:rFonts w:ascii="Times New Roman" w:hAnsi="Times New Roman" w:cs="Times New Roman"/>
        </w:rPr>
      </w:pPr>
    </w:p>
    <w:p w14:paraId="1E5323ED" w14:textId="3C5E2703" w:rsidR="00DB7AC5" w:rsidRDefault="00DB7AC5" w:rsidP="00DB7AC5">
      <w:pPr>
        <w:rPr>
          <w:rFonts w:ascii="Times New Roman" w:hAnsi="Times New Roman" w:cs="Times New Roman"/>
        </w:rPr>
      </w:pPr>
      <w:r>
        <w:rPr>
          <w:rFonts w:ascii="Times New Roman" w:hAnsi="Times New Roman" w:cs="Times New Roman"/>
        </w:rPr>
        <w:t>We have within-subjects design, where e</w:t>
      </w:r>
      <w:r w:rsidRPr="00DB7AC5">
        <w:rPr>
          <w:rFonts w:ascii="Times New Roman" w:hAnsi="Times New Roman" w:cs="Times New Roman"/>
        </w:rPr>
        <w:t xml:space="preserve">ach participant interprets all </w:t>
      </w:r>
      <w:r>
        <w:rPr>
          <w:rFonts w:ascii="Times New Roman" w:hAnsi="Times New Roman" w:cs="Times New Roman"/>
        </w:rPr>
        <w:t>twenty</w:t>
      </w:r>
      <w:r w:rsidRPr="00DB7AC5">
        <w:rPr>
          <w:rFonts w:ascii="Times New Roman" w:hAnsi="Times New Roman" w:cs="Times New Roman"/>
        </w:rPr>
        <w:t xml:space="preserve"> sentences, allowing comparison across different sentence types.</w:t>
      </w:r>
      <w:r>
        <w:rPr>
          <w:rFonts w:ascii="Times New Roman" w:hAnsi="Times New Roman" w:cs="Times New Roman"/>
        </w:rPr>
        <w:t xml:space="preserve"> Covariates included are age, race, sex, education level, political affiliation, and religious background. The sentence is presented, with two interpretations. The first i</w:t>
      </w:r>
      <w:r w:rsidRPr="00DB7AC5">
        <w:rPr>
          <w:rFonts w:ascii="Times New Roman" w:hAnsi="Times New Roman" w:cs="Times New Roman"/>
        </w:rPr>
        <w:t xml:space="preserve">nterpretation </w:t>
      </w:r>
      <w:r>
        <w:rPr>
          <w:rFonts w:ascii="Times New Roman" w:hAnsi="Times New Roman" w:cs="Times New Roman"/>
        </w:rPr>
        <w:t>one focuses</w:t>
      </w:r>
      <w:r w:rsidRPr="00DB7AC5">
        <w:rPr>
          <w:rFonts w:ascii="Times New Roman" w:hAnsi="Times New Roman" w:cs="Times New Roman"/>
        </w:rPr>
        <w:t xml:space="preserve"> on the idea that the latter part of the sentence (the main clause) is justified or conditioned by the first part (the introductory clause).</w:t>
      </w:r>
      <w:r>
        <w:rPr>
          <w:rFonts w:ascii="Times New Roman" w:hAnsi="Times New Roman" w:cs="Times New Roman"/>
        </w:rPr>
        <w:t xml:space="preserve"> The second i</w:t>
      </w:r>
      <w:r w:rsidRPr="00DB7AC5">
        <w:rPr>
          <w:rFonts w:ascii="Times New Roman" w:hAnsi="Times New Roman" w:cs="Times New Roman"/>
        </w:rPr>
        <w:t xml:space="preserve">nterpretation </w:t>
      </w:r>
      <w:r>
        <w:rPr>
          <w:rFonts w:ascii="Times New Roman" w:hAnsi="Times New Roman" w:cs="Times New Roman"/>
        </w:rPr>
        <w:t xml:space="preserve">treats </w:t>
      </w:r>
      <w:r w:rsidRPr="00DB7AC5">
        <w:rPr>
          <w:rFonts w:ascii="Times New Roman" w:hAnsi="Times New Roman" w:cs="Times New Roman"/>
        </w:rPr>
        <w:t>the main clause as an independent statement, with the introductory clause providing background or context but not limiting the main clause.</w:t>
      </w:r>
      <w:r>
        <w:rPr>
          <w:rFonts w:ascii="Times New Roman" w:hAnsi="Times New Roman" w:cs="Times New Roman"/>
        </w:rPr>
        <w:t xml:space="preserve"> Take for example the following stimuli example: </w:t>
      </w:r>
    </w:p>
    <w:p w14:paraId="66BA7D06" w14:textId="77777777" w:rsidR="00DB7AC5" w:rsidRDefault="00DB7AC5" w:rsidP="00DB7AC5">
      <w:pPr>
        <w:rPr>
          <w:rFonts w:ascii="Times New Roman" w:hAnsi="Times New Roman" w:cs="Times New Roman"/>
        </w:rPr>
      </w:pPr>
    </w:p>
    <w:p w14:paraId="15EACED8" w14:textId="7410E595" w:rsidR="00DB7AC5" w:rsidRPr="00DB7AC5" w:rsidRDefault="00DB7AC5" w:rsidP="00DB7AC5">
      <w:pPr>
        <w:ind w:left="360" w:hanging="360"/>
        <w:rPr>
          <w:rFonts w:ascii="Times New Roman" w:hAnsi="Times New Roman" w:cs="Times New Roman"/>
          <w:b/>
          <w:bCs/>
        </w:rPr>
      </w:pPr>
      <w:r w:rsidRPr="00DB7AC5">
        <w:rPr>
          <w:rFonts w:ascii="Times New Roman" w:hAnsi="Times New Roman" w:cs="Times New Roman"/>
          <w:b/>
          <w:bCs/>
        </w:rPr>
        <w:t xml:space="preserve">10) </w:t>
      </w:r>
      <w:r w:rsidRPr="00DB7AC5">
        <w:rPr>
          <w:rFonts w:ascii="Times New Roman" w:hAnsi="Times New Roman" w:cs="Times New Roman"/>
          <w:b/>
          <w:bCs/>
        </w:rPr>
        <w:t>Mental health awareness, being crucial for overall well-being, the destigmatization of seeking therapy and support, is important.</w:t>
      </w:r>
    </w:p>
    <w:p w14:paraId="28EA3494" w14:textId="77777777" w:rsidR="00DB7AC5" w:rsidRDefault="00DB7AC5" w:rsidP="00DB7AC5">
      <w:pPr>
        <w:rPr>
          <w:rFonts w:ascii="Times New Roman" w:hAnsi="Times New Roman" w:cs="Times New Roman"/>
        </w:rPr>
      </w:pPr>
    </w:p>
    <w:p w14:paraId="35F0164F" w14:textId="4240F5E1" w:rsidR="00DB7AC5" w:rsidRDefault="00DB7AC5" w:rsidP="00DB7AC5">
      <w:pPr>
        <w:rPr>
          <w:rFonts w:ascii="Times New Roman" w:hAnsi="Times New Roman" w:cs="Times New Roman"/>
          <w:i/>
          <w:iCs/>
        </w:rPr>
      </w:pPr>
      <w:r w:rsidRPr="00DB7AC5">
        <w:rPr>
          <w:rFonts w:ascii="Times New Roman" w:hAnsi="Times New Roman" w:cs="Times New Roman"/>
          <w:i/>
          <w:iCs/>
        </w:rPr>
        <w:t>How do you understand the relationship between mental health awareness and the importance of destigmatizing therapy in this sentence?</w:t>
      </w:r>
    </w:p>
    <w:p w14:paraId="29106DF7" w14:textId="77777777" w:rsidR="00DB7AC5" w:rsidRDefault="00DB7AC5" w:rsidP="00DB7AC5">
      <w:pPr>
        <w:rPr>
          <w:rFonts w:ascii="Times New Roman" w:hAnsi="Times New Roman" w:cs="Times New Roman"/>
          <w:i/>
          <w:iCs/>
        </w:rPr>
      </w:pPr>
    </w:p>
    <w:p w14:paraId="12F9C166" w14:textId="459875EB" w:rsidR="00DB7AC5" w:rsidRDefault="00DB7AC5" w:rsidP="00DB7AC5">
      <w:pPr>
        <w:pStyle w:val="ListParagraph"/>
        <w:numPr>
          <w:ilvl w:val="0"/>
          <w:numId w:val="4"/>
        </w:numPr>
        <w:rPr>
          <w:rFonts w:ascii="Times New Roman" w:hAnsi="Times New Roman" w:cs="Times New Roman"/>
        </w:rPr>
      </w:pPr>
      <w:r w:rsidRPr="00DB7AC5">
        <w:rPr>
          <w:rFonts w:ascii="Times New Roman" w:hAnsi="Times New Roman" w:cs="Times New Roman"/>
        </w:rPr>
        <w:t>The sentence suggests that destigmatizing therapy is important because mental health awareness is crucial for well-being, with the importance tied to this awareness.</w:t>
      </w:r>
    </w:p>
    <w:p w14:paraId="09039354" w14:textId="59E5503B" w:rsidR="00DB7AC5" w:rsidRDefault="00DB7AC5" w:rsidP="00DB7AC5">
      <w:pPr>
        <w:pStyle w:val="ListParagraph"/>
        <w:numPr>
          <w:ilvl w:val="0"/>
          <w:numId w:val="4"/>
        </w:numPr>
        <w:rPr>
          <w:rFonts w:ascii="Times New Roman" w:hAnsi="Times New Roman" w:cs="Times New Roman"/>
        </w:rPr>
      </w:pPr>
      <w:r w:rsidRPr="00DB7AC5">
        <w:rPr>
          <w:rFonts w:ascii="Times New Roman" w:hAnsi="Times New Roman" w:cs="Times New Roman"/>
        </w:rPr>
        <w:t>The sentence emphasizes the importance of destigmatizing therapy independently, with mental health awareness being a contextual but not directly limiting factor.</w:t>
      </w:r>
    </w:p>
    <w:p w14:paraId="3C6B96D2" w14:textId="77777777" w:rsidR="00DB7AC5" w:rsidRDefault="00DB7AC5" w:rsidP="00DB7AC5">
      <w:pPr>
        <w:rPr>
          <w:rFonts w:ascii="Times New Roman" w:hAnsi="Times New Roman" w:cs="Times New Roman"/>
        </w:rPr>
      </w:pPr>
    </w:p>
    <w:p w14:paraId="016FB8F5" w14:textId="7746F027" w:rsidR="00DB7AC5" w:rsidRDefault="00DB7AC5" w:rsidP="00DB7AC5">
      <w:pPr>
        <w:rPr>
          <w:rFonts w:ascii="Times New Roman" w:hAnsi="Times New Roman" w:cs="Times New Roman"/>
        </w:rPr>
      </w:pPr>
      <w:r>
        <w:rPr>
          <w:rFonts w:ascii="Times New Roman" w:hAnsi="Times New Roman" w:cs="Times New Roman"/>
        </w:rPr>
        <w:t>We subsequently ask the following questions:</w:t>
      </w:r>
    </w:p>
    <w:p w14:paraId="51424924" w14:textId="77777777" w:rsidR="00DB7AC5" w:rsidRDefault="00DB7AC5" w:rsidP="00DB7AC5">
      <w:pPr>
        <w:rPr>
          <w:rFonts w:ascii="Times New Roman" w:hAnsi="Times New Roman" w:cs="Times New Roman"/>
        </w:rPr>
      </w:pPr>
    </w:p>
    <w:p w14:paraId="74E31200" w14:textId="6A4A9297" w:rsidR="00DB7AC5" w:rsidRDefault="00DB7AC5" w:rsidP="00DB7AC5">
      <w:pPr>
        <w:pStyle w:val="ListParagraph"/>
        <w:numPr>
          <w:ilvl w:val="0"/>
          <w:numId w:val="9"/>
        </w:numPr>
        <w:rPr>
          <w:rFonts w:ascii="Times New Roman" w:hAnsi="Times New Roman" w:cs="Times New Roman"/>
        </w:rPr>
      </w:pPr>
      <w:r w:rsidRPr="00DB7AC5">
        <w:rPr>
          <w:rFonts w:ascii="Times New Roman" w:hAnsi="Times New Roman" w:cs="Times New Roman"/>
        </w:rPr>
        <w:t>Perceived Importance of the Introductory Clause:</w:t>
      </w:r>
    </w:p>
    <w:p w14:paraId="7EBC8551" w14:textId="77777777" w:rsidR="00DB7AC5" w:rsidRDefault="00DB7AC5" w:rsidP="00DB7AC5">
      <w:pPr>
        <w:ind w:left="720"/>
        <w:rPr>
          <w:rFonts w:ascii="Times New Roman" w:hAnsi="Times New Roman" w:cs="Times New Roman"/>
        </w:rPr>
      </w:pPr>
    </w:p>
    <w:p w14:paraId="3383941B" w14:textId="09F3EF05" w:rsidR="00DB7AC5" w:rsidRDefault="00DB7AC5" w:rsidP="00DB7AC5">
      <w:pPr>
        <w:ind w:left="720"/>
        <w:rPr>
          <w:rFonts w:ascii="Times New Roman" w:hAnsi="Times New Roman" w:cs="Times New Roman"/>
        </w:rPr>
      </w:pPr>
      <w:r w:rsidRPr="00DB7AC5">
        <w:rPr>
          <w:rFonts w:ascii="Times New Roman" w:hAnsi="Times New Roman" w:cs="Times New Roman"/>
        </w:rPr>
        <w:t xml:space="preserve">How important </w:t>
      </w:r>
      <w:r w:rsidR="00F9003A">
        <w:rPr>
          <w:rFonts w:ascii="Times New Roman" w:hAnsi="Times New Roman" w:cs="Times New Roman"/>
        </w:rPr>
        <w:t>do you</w:t>
      </w:r>
      <w:r w:rsidRPr="00DB7AC5">
        <w:rPr>
          <w:rFonts w:ascii="Times New Roman" w:hAnsi="Times New Roman" w:cs="Times New Roman"/>
        </w:rPr>
        <w:t xml:space="preserve"> believe the introductory clause</w:t>
      </w:r>
      <w:r>
        <w:rPr>
          <w:rFonts w:ascii="Times New Roman" w:hAnsi="Times New Roman" w:cs="Times New Roman"/>
        </w:rPr>
        <w:t xml:space="preserve"> (for example, </w:t>
      </w:r>
      <w:r w:rsidRPr="00DB7AC5">
        <w:rPr>
          <w:rFonts w:ascii="Times New Roman" w:hAnsi="Times New Roman" w:cs="Times New Roman"/>
        </w:rPr>
        <w:t xml:space="preserve">is </w:t>
      </w:r>
      <w:r>
        <w:rPr>
          <w:rFonts w:ascii="Times New Roman" w:hAnsi="Times New Roman" w:cs="Times New Roman"/>
        </w:rPr>
        <w:t>m</w:t>
      </w:r>
      <w:r w:rsidRPr="00DB7AC5">
        <w:rPr>
          <w:rFonts w:ascii="Times New Roman" w:hAnsi="Times New Roman" w:cs="Times New Roman"/>
        </w:rPr>
        <w:t>ental health awareness, being crucial for overall well-being</w:t>
      </w:r>
      <w:r>
        <w:rPr>
          <w:rFonts w:ascii="Times New Roman" w:hAnsi="Times New Roman" w:cs="Times New Roman"/>
        </w:rPr>
        <w:t>)</w:t>
      </w:r>
      <w:r w:rsidRPr="00DB7AC5">
        <w:rPr>
          <w:rFonts w:ascii="Times New Roman" w:hAnsi="Times New Roman" w:cs="Times New Roman"/>
        </w:rPr>
        <w:t xml:space="preserve"> </w:t>
      </w:r>
      <w:r>
        <w:rPr>
          <w:rFonts w:ascii="Times New Roman" w:hAnsi="Times New Roman" w:cs="Times New Roman"/>
        </w:rPr>
        <w:t xml:space="preserve">is for </w:t>
      </w:r>
      <w:r w:rsidRPr="00DB7AC5">
        <w:rPr>
          <w:rFonts w:ascii="Times New Roman" w:hAnsi="Times New Roman" w:cs="Times New Roman"/>
        </w:rPr>
        <w:t>determining the meaning of the sentence</w:t>
      </w:r>
      <w:r w:rsidR="00F9003A">
        <w:rPr>
          <w:rFonts w:ascii="Times New Roman" w:hAnsi="Times New Roman" w:cs="Times New Roman"/>
        </w:rPr>
        <w:t>?</w:t>
      </w:r>
    </w:p>
    <w:p w14:paraId="1A237014" w14:textId="77777777" w:rsidR="00DB7AC5" w:rsidRPr="00DB7AC5" w:rsidRDefault="00DB7AC5" w:rsidP="00DB7AC5">
      <w:pPr>
        <w:ind w:left="720"/>
        <w:rPr>
          <w:rFonts w:ascii="Times New Roman" w:hAnsi="Times New Roman" w:cs="Times New Roman"/>
        </w:rPr>
      </w:pPr>
    </w:p>
    <w:p w14:paraId="59D5A9B9" w14:textId="6D1303AE" w:rsidR="00DB7AC5" w:rsidRPr="00DB7AC5" w:rsidRDefault="00DB7AC5" w:rsidP="00DB7AC5">
      <w:pPr>
        <w:pStyle w:val="ListParagraph"/>
        <w:numPr>
          <w:ilvl w:val="0"/>
          <w:numId w:val="9"/>
        </w:numPr>
        <w:rPr>
          <w:rFonts w:ascii="Times New Roman" w:hAnsi="Times New Roman" w:cs="Times New Roman"/>
        </w:rPr>
      </w:pPr>
      <w:r w:rsidRPr="00DB7AC5">
        <w:rPr>
          <w:rFonts w:ascii="Times New Roman" w:hAnsi="Times New Roman" w:cs="Times New Roman"/>
        </w:rPr>
        <w:t>Agreement with the Sentence:</w:t>
      </w:r>
    </w:p>
    <w:p w14:paraId="79CBAA68" w14:textId="77777777" w:rsidR="00DB7AC5" w:rsidRDefault="00DB7AC5" w:rsidP="00DB7AC5">
      <w:pPr>
        <w:ind w:left="720"/>
        <w:rPr>
          <w:rFonts w:ascii="Times New Roman" w:hAnsi="Times New Roman" w:cs="Times New Roman"/>
        </w:rPr>
      </w:pPr>
    </w:p>
    <w:p w14:paraId="3F8CA690" w14:textId="0290CEAF" w:rsidR="00DB7AC5" w:rsidRDefault="00F9003A" w:rsidP="00DB7AC5">
      <w:pPr>
        <w:ind w:left="720"/>
        <w:rPr>
          <w:rFonts w:ascii="Times New Roman" w:hAnsi="Times New Roman" w:cs="Times New Roman"/>
        </w:rPr>
      </w:pPr>
      <w:r>
        <w:rPr>
          <w:rFonts w:ascii="Times New Roman" w:hAnsi="Times New Roman" w:cs="Times New Roman"/>
        </w:rPr>
        <w:t>Do you</w:t>
      </w:r>
      <w:r w:rsidR="00DB7AC5" w:rsidRPr="00DB7AC5">
        <w:rPr>
          <w:rFonts w:ascii="Times New Roman" w:hAnsi="Times New Roman" w:cs="Times New Roman"/>
        </w:rPr>
        <w:t xml:space="preserve"> agree with the overall message of the sentence</w:t>
      </w:r>
      <w:r>
        <w:rPr>
          <w:rFonts w:ascii="Times New Roman" w:hAnsi="Times New Roman" w:cs="Times New Roman"/>
        </w:rPr>
        <w:t>?</w:t>
      </w:r>
    </w:p>
    <w:p w14:paraId="27D2723B" w14:textId="77777777" w:rsidR="00DB7AC5" w:rsidRPr="00DB7AC5" w:rsidRDefault="00DB7AC5" w:rsidP="00F9003A">
      <w:pPr>
        <w:rPr>
          <w:rFonts w:ascii="Times New Roman" w:hAnsi="Times New Roman" w:cs="Times New Roman"/>
        </w:rPr>
      </w:pPr>
    </w:p>
    <w:p w14:paraId="23018C0C" w14:textId="6FAE035E" w:rsidR="00DB7AC5" w:rsidRDefault="00DB7AC5" w:rsidP="00DB7AC5">
      <w:pPr>
        <w:pStyle w:val="ListParagraph"/>
        <w:numPr>
          <w:ilvl w:val="0"/>
          <w:numId w:val="9"/>
        </w:numPr>
        <w:rPr>
          <w:rFonts w:ascii="Times New Roman" w:hAnsi="Times New Roman" w:cs="Times New Roman"/>
        </w:rPr>
      </w:pPr>
      <w:r w:rsidRPr="00DB7AC5">
        <w:rPr>
          <w:rFonts w:ascii="Times New Roman" w:hAnsi="Times New Roman" w:cs="Times New Roman"/>
        </w:rPr>
        <w:t>Confidence in Interpretation:</w:t>
      </w:r>
    </w:p>
    <w:p w14:paraId="2916BAE9" w14:textId="77777777" w:rsidR="00DB7AC5" w:rsidRPr="00DB7AC5" w:rsidRDefault="00DB7AC5" w:rsidP="00DB7AC5">
      <w:pPr>
        <w:pStyle w:val="ListParagraph"/>
        <w:rPr>
          <w:rFonts w:ascii="Times New Roman" w:hAnsi="Times New Roman" w:cs="Times New Roman"/>
        </w:rPr>
      </w:pPr>
    </w:p>
    <w:p w14:paraId="0D667098" w14:textId="5DEEF279" w:rsidR="00DB7AC5" w:rsidRPr="00DB7AC5" w:rsidRDefault="00DB7AC5" w:rsidP="00DB7AC5">
      <w:pPr>
        <w:ind w:left="720"/>
        <w:rPr>
          <w:rFonts w:ascii="Times New Roman" w:hAnsi="Times New Roman" w:cs="Times New Roman"/>
        </w:rPr>
      </w:pPr>
      <w:r w:rsidRPr="00DB7AC5">
        <w:rPr>
          <w:rFonts w:ascii="Times New Roman" w:hAnsi="Times New Roman" w:cs="Times New Roman"/>
        </w:rPr>
        <w:t xml:space="preserve">How confident are </w:t>
      </w:r>
      <w:r w:rsidR="00F9003A">
        <w:rPr>
          <w:rFonts w:ascii="Times New Roman" w:hAnsi="Times New Roman" w:cs="Times New Roman"/>
        </w:rPr>
        <w:t>you in</w:t>
      </w:r>
      <w:r w:rsidRPr="00DB7AC5">
        <w:rPr>
          <w:rFonts w:ascii="Times New Roman" w:hAnsi="Times New Roman" w:cs="Times New Roman"/>
        </w:rPr>
        <w:t xml:space="preserve"> </w:t>
      </w:r>
      <w:r w:rsidR="00F9003A">
        <w:rPr>
          <w:rFonts w:ascii="Times New Roman" w:hAnsi="Times New Roman" w:cs="Times New Roman"/>
        </w:rPr>
        <w:t xml:space="preserve">your chosen </w:t>
      </w:r>
      <w:r w:rsidRPr="00DB7AC5">
        <w:rPr>
          <w:rFonts w:ascii="Times New Roman" w:hAnsi="Times New Roman" w:cs="Times New Roman"/>
        </w:rPr>
        <w:t>interpretation of the sentence</w:t>
      </w:r>
      <w:r w:rsidR="00F9003A">
        <w:rPr>
          <w:rFonts w:ascii="Times New Roman" w:hAnsi="Times New Roman" w:cs="Times New Roman"/>
        </w:rPr>
        <w:t>?</w:t>
      </w:r>
    </w:p>
    <w:p w14:paraId="71AB8AC1" w14:textId="77777777" w:rsidR="00DB7AC5" w:rsidRPr="00DB7AC5" w:rsidRDefault="00DB7AC5" w:rsidP="00F9003A">
      <w:pPr>
        <w:rPr>
          <w:rFonts w:ascii="Times New Roman" w:hAnsi="Times New Roman" w:cs="Times New Roman"/>
        </w:rPr>
      </w:pPr>
    </w:p>
    <w:p w14:paraId="564C17E0" w14:textId="4E72A35E" w:rsidR="00DB7AC5" w:rsidRPr="00F9003A" w:rsidRDefault="00DB7AC5" w:rsidP="00DB7AC5">
      <w:pPr>
        <w:pStyle w:val="ListParagraph"/>
        <w:numPr>
          <w:ilvl w:val="0"/>
          <w:numId w:val="9"/>
        </w:numPr>
        <w:rPr>
          <w:rFonts w:ascii="Times New Roman" w:hAnsi="Times New Roman" w:cs="Times New Roman"/>
        </w:rPr>
      </w:pPr>
      <w:r w:rsidRPr="00DB7AC5">
        <w:rPr>
          <w:rFonts w:ascii="Times New Roman" w:hAnsi="Times New Roman" w:cs="Times New Roman"/>
        </w:rPr>
        <w:t>Perceived Clarity of the Sentence:</w:t>
      </w:r>
    </w:p>
    <w:p w14:paraId="4CF0B102" w14:textId="77777777" w:rsidR="00F9003A" w:rsidRDefault="00F9003A" w:rsidP="00DB7AC5">
      <w:pPr>
        <w:ind w:left="720"/>
        <w:rPr>
          <w:rFonts w:ascii="Times New Roman" w:hAnsi="Times New Roman" w:cs="Times New Roman"/>
        </w:rPr>
      </w:pPr>
    </w:p>
    <w:p w14:paraId="5BE0FEF2" w14:textId="171BE9E1" w:rsidR="00DB7AC5" w:rsidRPr="00DB7AC5" w:rsidRDefault="00DB7AC5" w:rsidP="00DB7AC5">
      <w:pPr>
        <w:ind w:left="720"/>
        <w:rPr>
          <w:rFonts w:ascii="Times New Roman" w:hAnsi="Times New Roman" w:cs="Times New Roman"/>
        </w:rPr>
      </w:pPr>
      <w:r w:rsidRPr="00DB7AC5">
        <w:rPr>
          <w:rFonts w:ascii="Times New Roman" w:hAnsi="Times New Roman" w:cs="Times New Roman"/>
        </w:rPr>
        <w:t xml:space="preserve">How </w:t>
      </w:r>
      <w:r w:rsidR="00F9003A">
        <w:rPr>
          <w:rFonts w:ascii="Times New Roman" w:hAnsi="Times New Roman" w:cs="Times New Roman"/>
        </w:rPr>
        <w:t>clear</w:t>
      </w:r>
      <w:r w:rsidRPr="00DB7AC5">
        <w:rPr>
          <w:rFonts w:ascii="Times New Roman" w:hAnsi="Times New Roman" w:cs="Times New Roman"/>
        </w:rPr>
        <w:t xml:space="preserve"> </w:t>
      </w:r>
      <w:r w:rsidR="00F9003A">
        <w:rPr>
          <w:rFonts w:ascii="Times New Roman" w:hAnsi="Times New Roman" w:cs="Times New Roman"/>
        </w:rPr>
        <w:t>do</w:t>
      </w:r>
      <w:r w:rsidRPr="00DB7AC5">
        <w:rPr>
          <w:rFonts w:ascii="Times New Roman" w:hAnsi="Times New Roman" w:cs="Times New Roman"/>
        </w:rPr>
        <w:t xml:space="preserve"> find the sentence</w:t>
      </w:r>
      <w:r w:rsidR="00F9003A">
        <w:rPr>
          <w:rFonts w:ascii="Times New Roman" w:hAnsi="Times New Roman" w:cs="Times New Roman"/>
        </w:rPr>
        <w:t>?</w:t>
      </w:r>
    </w:p>
    <w:p w14:paraId="5920299D" w14:textId="77777777" w:rsidR="00DB7AC5" w:rsidRPr="00DB7AC5" w:rsidRDefault="00DB7AC5" w:rsidP="00DB7AC5">
      <w:pPr>
        <w:rPr>
          <w:rFonts w:ascii="Times New Roman" w:hAnsi="Times New Roman" w:cs="Times New Roman"/>
        </w:rPr>
      </w:pPr>
    </w:p>
    <w:p w14:paraId="7BB8E74D" w14:textId="4F6AE31B" w:rsidR="00DB7AC5" w:rsidRDefault="00F9003A" w:rsidP="00DB7AC5">
      <w:pPr>
        <w:rPr>
          <w:rFonts w:ascii="Times New Roman" w:hAnsi="Times New Roman" w:cs="Times New Roman"/>
        </w:rPr>
      </w:pPr>
      <w:r>
        <w:rPr>
          <w:rFonts w:ascii="Times New Roman" w:hAnsi="Times New Roman" w:cs="Times New Roman"/>
        </w:rPr>
        <w:lastRenderedPageBreak/>
        <w:t xml:space="preserve">All are measured on a five-point </w:t>
      </w:r>
      <w:r w:rsidRPr="00F9003A">
        <w:rPr>
          <w:rFonts w:ascii="Times New Roman" w:hAnsi="Times New Roman" w:cs="Times New Roman"/>
        </w:rPr>
        <w:t>Likert scale</w:t>
      </w:r>
      <w:r>
        <w:rPr>
          <w:rFonts w:ascii="Times New Roman" w:hAnsi="Times New Roman" w:cs="Times New Roman"/>
        </w:rPr>
        <w:t xml:space="preserve">. </w:t>
      </w:r>
    </w:p>
    <w:p w14:paraId="3451F20C" w14:textId="77777777" w:rsidR="00F9003A" w:rsidRDefault="00F9003A" w:rsidP="00DB7AC5">
      <w:pPr>
        <w:rPr>
          <w:rFonts w:ascii="Times New Roman" w:hAnsi="Times New Roman" w:cs="Times New Roman"/>
        </w:rPr>
      </w:pPr>
    </w:p>
    <w:p w14:paraId="3B8DA2E9" w14:textId="265E1058" w:rsidR="00F9003A" w:rsidRDefault="00F9003A" w:rsidP="00DB7AC5">
      <w:pPr>
        <w:rPr>
          <w:rFonts w:ascii="Times New Roman" w:hAnsi="Times New Roman" w:cs="Times New Roman"/>
        </w:rPr>
      </w:pPr>
      <w:r>
        <w:rPr>
          <w:rFonts w:ascii="Times New Roman" w:hAnsi="Times New Roman" w:cs="Times New Roman"/>
        </w:rPr>
        <w:t>We might include open ended responses so as participants can justify their response. We would do exploratory a</w:t>
      </w:r>
      <w:r w:rsidRPr="00F9003A">
        <w:rPr>
          <w:rFonts w:ascii="Times New Roman" w:hAnsi="Times New Roman" w:cs="Times New Roman"/>
        </w:rPr>
        <w:t>naly</w:t>
      </w:r>
      <w:r>
        <w:rPr>
          <w:rFonts w:ascii="Times New Roman" w:hAnsi="Times New Roman" w:cs="Times New Roman"/>
        </w:rPr>
        <w:t>sis</w:t>
      </w:r>
      <w:r w:rsidRPr="00F9003A">
        <w:rPr>
          <w:rFonts w:ascii="Times New Roman" w:hAnsi="Times New Roman" w:cs="Times New Roman"/>
        </w:rPr>
        <w:t xml:space="preserve"> </w:t>
      </w:r>
      <w:r>
        <w:rPr>
          <w:rFonts w:ascii="Times New Roman" w:hAnsi="Times New Roman" w:cs="Times New Roman"/>
        </w:rPr>
        <w:t>of</w:t>
      </w:r>
      <w:r w:rsidRPr="00F9003A">
        <w:rPr>
          <w:rFonts w:ascii="Times New Roman" w:hAnsi="Times New Roman" w:cs="Times New Roman"/>
        </w:rPr>
        <w:t xml:space="preserve"> open-ended responses for insights into participant reasoning behind their interpretations.</w:t>
      </w:r>
    </w:p>
    <w:p w14:paraId="13DB5D34" w14:textId="77777777" w:rsidR="00F9003A" w:rsidRDefault="00F9003A" w:rsidP="00DB7AC5">
      <w:pPr>
        <w:rPr>
          <w:rFonts w:ascii="Times New Roman" w:hAnsi="Times New Roman" w:cs="Times New Roman"/>
        </w:rPr>
      </w:pPr>
    </w:p>
    <w:p w14:paraId="58FD710F" w14:textId="792D5113" w:rsidR="00F9003A" w:rsidRDefault="00F9003A" w:rsidP="00F9003A">
      <w:pPr>
        <w:rPr>
          <w:rFonts w:ascii="Times New Roman" w:hAnsi="Times New Roman" w:cs="Times New Roman"/>
          <w:noProof/>
          <w14:ligatures w14:val="standardContextual"/>
        </w:rPr>
      </w:pPr>
      <w:r>
        <w:rPr>
          <w:rFonts w:ascii="Times New Roman" w:hAnsi="Times New Roman" w:cs="Times New Roman"/>
        </w:rPr>
        <w:t>Our</w:t>
      </w:r>
      <w:r w:rsidRPr="00F9003A">
        <w:t xml:space="preserve"> </w:t>
      </w:r>
      <w:r w:rsidRPr="00F9003A">
        <w:rPr>
          <w:rFonts w:ascii="Times New Roman" w:hAnsi="Times New Roman" w:cs="Times New Roman"/>
        </w:rPr>
        <w:t>Quantitative Analysis</w:t>
      </w:r>
      <w:r>
        <w:rPr>
          <w:rFonts w:ascii="Times New Roman" w:hAnsi="Times New Roman" w:cs="Times New Roman"/>
        </w:rPr>
        <w:t xml:space="preserve"> uses </w:t>
      </w:r>
      <w:r w:rsidRPr="00F9003A">
        <w:rPr>
          <w:rFonts w:ascii="Times New Roman" w:hAnsi="Times New Roman" w:cs="Times New Roman"/>
        </w:rPr>
        <w:t>chi-square tests for categorical data (interpretation choice) and t-tests or ANOVA for Likert scale data (importance, agreement, confidence, clarity).</w:t>
      </w:r>
      <w:r>
        <w:rPr>
          <w:rFonts w:ascii="Times New Roman" w:hAnsi="Times New Roman" w:cs="Times New Roman"/>
        </w:rPr>
        <w:t xml:space="preserve"> We would then a</w:t>
      </w:r>
      <w:r w:rsidRPr="00F9003A">
        <w:rPr>
          <w:rFonts w:ascii="Times New Roman" w:hAnsi="Times New Roman" w:cs="Times New Roman"/>
        </w:rPr>
        <w:t>nalyze whether different sentence constructs lead to different interpretations and levels of agreement or perceived clarity.</w:t>
      </w:r>
      <w:r w:rsidRPr="00F9003A">
        <w:rPr>
          <w:rFonts w:ascii="Times New Roman" w:hAnsi="Times New Roman" w:cs="Times New Roman"/>
          <w:noProof/>
          <w14:ligatures w14:val="standardContextual"/>
        </w:rPr>
        <w:t xml:space="preserve"> </w:t>
      </w:r>
    </w:p>
    <w:p w14:paraId="170EDBD2" w14:textId="77777777" w:rsidR="00F9003A" w:rsidRDefault="00F9003A" w:rsidP="00F9003A">
      <w:pPr>
        <w:rPr>
          <w:rFonts w:ascii="Times New Roman" w:hAnsi="Times New Roman" w:cs="Times New Roman"/>
          <w:noProof/>
          <w14:ligatures w14:val="standardContextual"/>
        </w:rPr>
      </w:pPr>
    </w:p>
    <w:p w14:paraId="04157328" w14:textId="11049C41" w:rsidR="00F9003A" w:rsidRPr="00F9003A" w:rsidRDefault="00F9003A" w:rsidP="00F9003A">
      <w:pPr>
        <w:rPr>
          <w:rFonts w:ascii="Times New Roman" w:hAnsi="Times New Roman" w:cs="Times New Roman"/>
        </w:rPr>
      </w:pPr>
      <w:r>
        <w:rPr>
          <w:rFonts w:ascii="Times New Roman" w:hAnsi="Times New Roman" w:cs="Times New Roman"/>
        </w:rPr>
        <w:t xml:space="preserve">A cursory analysis completes the following power analysis. </w:t>
      </w:r>
    </w:p>
    <w:p w14:paraId="50BB1EF4" w14:textId="77777777" w:rsidR="00F9003A" w:rsidRDefault="00F9003A" w:rsidP="00F9003A">
      <w:pPr>
        <w:rPr>
          <w:rFonts w:ascii="Times New Roman" w:hAnsi="Times New Roman" w:cs="Times New Roman"/>
          <w:noProof/>
          <w14:ligatures w14:val="standardContextual"/>
        </w:rPr>
      </w:pPr>
    </w:p>
    <w:p w14:paraId="6C1F9C0E" w14:textId="0155F0A4" w:rsidR="00F9003A" w:rsidRDefault="00F9003A" w:rsidP="00F9003A">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AC8CAC8" wp14:editId="34185CCF">
            <wp:extent cx="4305300" cy="5118100"/>
            <wp:effectExtent l="0" t="0" r="0" b="0"/>
            <wp:docPr id="1131005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0594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5300" cy="5118100"/>
                    </a:xfrm>
                    <a:prstGeom prst="rect">
                      <a:avLst/>
                    </a:prstGeom>
                  </pic:spPr>
                </pic:pic>
              </a:graphicData>
            </a:graphic>
          </wp:inline>
        </w:drawing>
      </w:r>
    </w:p>
    <w:p w14:paraId="37F6287C" w14:textId="77777777" w:rsidR="00D919E7" w:rsidRDefault="00D919E7" w:rsidP="00F9003A">
      <w:pPr>
        <w:rPr>
          <w:rFonts w:ascii="Times New Roman" w:hAnsi="Times New Roman" w:cs="Times New Roman"/>
        </w:rPr>
      </w:pPr>
    </w:p>
    <w:p w14:paraId="2211C747" w14:textId="77777777" w:rsidR="00D919E7" w:rsidRDefault="00D919E7" w:rsidP="00F9003A">
      <w:pPr>
        <w:rPr>
          <w:rFonts w:ascii="Times New Roman" w:hAnsi="Times New Roman" w:cs="Times New Roman"/>
        </w:rPr>
      </w:pPr>
    </w:p>
    <w:p w14:paraId="47750806" w14:textId="77777777" w:rsidR="00D919E7" w:rsidRDefault="00D919E7" w:rsidP="00F9003A">
      <w:pPr>
        <w:rPr>
          <w:rFonts w:ascii="Times New Roman" w:hAnsi="Times New Roman" w:cs="Times New Roman"/>
        </w:rPr>
      </w:pPr>
    </w:p>
    <w:p w14:paraId="79BB827B" w14:textId="77777777" w:rsidR="00D919E7" w:rsidRDefault="00D919E7" w:rsidP="00F9003A">
      <w:pPr>
        <w:rPr>
          <w:rFonts w:ascii="Times New Roman" w:hAnsi="Times New Roman" w:cs="Times New Roman"/>
        </w:rPr>
      </w:pPr>
    </w:p>
    <w:p w14:paraId="0DD6562E" w14:textId="57683B45" w:rsidR="00D919E7" w:rsidRPr="00D919E7" w:rsidRDefault="00D919E7" w:rsidP="00D919E7">
      <w:pPr>
        <w:rPr>
          <w:rFonts w:ascii="Times New Roman" w:hAnsi="Times New Roman" w:cs="Times New Roman"/>
        </w:rPr>
      </w:pPr>
      <w:r>
        <w:rPr>
          <w:rFonts w:ascii="Times New Roman" w:hAnsi="Times New Roman" w:cs="Times New Roman"/>
        </w:rPr>
        <w:lastRenderedPageBreak/>
        <w:t>I also want to suggest a study two, that has to do with a different interpretability problem. In this essay (</w:t>
      </w:r>
      <w:hyperlink r:id="rId8" w:history="1">
        <w:r w:rsidRPr="006148C2">
          <w:rPr>
            <w:rStyle w:val="Hyperlink"/>
            <w:rFonts w:ascii="Times New Roman" w:hAnsi="Times New Roman" w:cs="Times New Roman"/>
          </w:rPr>
          <w:t>https://firearmslaw.duke.edu/2021/07/the-strange-syntax-of-the-second-amendment</w:t>
        </w:r>
      </w:hyperlink>
      <w:r>
        <w:rPr>
          <w:rFonts w:ascii="Times New Roman" w:hAnsi="Times New Roman" w:cs="Times New Roman"/>
        </w:rPr>
        <w:t xml:space="preserve">) from the most preeminent second amendment law professoriate, the Duke University Law School  Center for Firearms Law, there are four different constructions, particularly on the use of the word “being.” </w:t>
      </w:r>
      <w:r w:rsidRPr="00D919E7">
        <w:rPr>
          <w:rFonts w:ascii="Times New Roman" w:hAnsi="Times New Roman" w:cs="Times New Roman"/>
        </w:rPr>
        <w:t xml:space="preserve">The first is the </w:t>
      </w:r>
      <w:r w:rsidRPr="00D919E7">
        <w:rPr>
          <w:rFonts w:ascii="Times New Roman" w:eastAsia="Times New Roman" w:hAnsi="Times New Roman" w:cs="Times New Roman"/>
          <w:b/>
          <w:bCs/>
        </w:rPr>
        <w:t>t</w:t>
      </w:r>
      <w:r w:rsidRPr="00D919E7">
        <w:rPr>
          <w:rFonts w:ascii="Times New Roman" w:eastAsia="Times New Roman" w:hAnsi="Times New Roman" w:cs="Times New Roman"/>
          <w:b/>
          <w:bCs/>
        </w:rPr>
        <w:t xml:space="preserve">emporal </w:t>
      </w:r>
      <w:r w:rsidRPr="00D919E7">
        <w:rPr>
          <w:rFonts w:ascii="Times New Roman" w:eastAsia="Times New Roman" w:hAnsi="Times New Roman" w:cs="Times New Roman"/>
          <w:b/>
          <w:bCs/>
        </w:rPr>
        <w:t>i</w:t>
      </w:r>
      <w:r w:rsidRPr="00D919E7">
        <w:rPr>
          <w:rFonts w:ascii="Times New Roman" w:eastAsia="Times New Roman" w:hAnsi="Times New Roman" w:cs="Times New Roman"/>
          <w:b/>
          <w:bCs/>
        </w:rPr>
        <w:t>nterpretation</w:t>
      </w:r>
      <w:r w:rsidRPr="00D919E7">
        <w:rPr>
          <w:rFonts w:ascii="Times New Roman" w:eastAsia="Times New Roman" w:hAnsi="Times New Roman" w:cs="Times New Roman"/>
        </w:rPr>
        <w:t xml:space="preserve">, with </w:t>
      </w:r>
      <w:r w:rsidRPr="00D919E7">
        <w:rPr>
          <w:rFonts w:ascii="Times New Roman" w:hAnsi="Times New Roman" w:cs="Times New Roman"/>
        </w:rPr>
        <w:t>t</w:t>
      </w:r>
      <w:r w:rsidRPr="00D919E7">
        <w:rPr>
          <w:rFonts w:ascii="Times New Roman" w:eastAsia="Times New Roman" w:hAnsi="Times New Roman" w:cs="Times New Roman"/>
        </w:rPr>
        <w:t xml:space="preserve">he main clause </w:t>
      </w:r>
      <w:r w:rsidRPr="00D919E7">
        <w:rPr>
          <w:rFonts w:ascii="Times New Roman" w:eastAsia="Times New Roman" w:hAnsi="Times New Roman" w:cs="Times New Roman"/>
        </w:rPr>
        <w:t>being</w:t>
      </w:r>
      <w:r w:rsidRPr="00D919E7">
        <w:rPr>
          <w:rFonts w:ascii="Times New Roman" w:eastAsia="Times New Roman" w:hAnsi="Times New Roman" w:cs="Times New Roman"/>
        </w:rPr>
        <w:t xml:space="preserve"> true whenever the condition in the being-clause is met. For example, </w:t>
      </w:r>
      <w:r>
        <w:rPr>
          <w:rFonts w:ascii="Times New Roman" w:eastAsia="Times New Roman" w:hAnsi="Times New Roman" w:cs="Times New Roman"/>
        </w:rPr>
        <w:t xml:space="preserve">one could interpret </w:t>
      </w:r>
      <w:r w:rsidRPr="00D919E7">
        <w:rPr>
          <w:rFonts w:ascii="Times New Roman" w:eastAsia="Times New Roman" w:hAnsi="Times New Roman" w:cs="Times New Roman"/>
        </w:rPr>
        <w:t>whenever a well-regulated militia is necessary, the right to bear arms shall not be infringed.</w:t>
      </w:r>
      <w:r w:rsidRPr="00D919E7">
        <w:rPr>
          <w:rFonts w:ascii="Times New Roman" w:hAnsi="Times New Roman" w:cs="Times New Roman"/>
        </w:rPr>
        <w:t xml:space="preserve"> The second is the </w:t>
      </w:r>
      <w:r w:rsidRPr="00D919E7">
        <w:rPr>
          <w:rFonts w:ascii="Times New Roman" w:hAnsi="Times New Roman" w:cs="Times New Roman"/>
          <w:b/>
          <w:bCs/>
        </w:rPr>
        <w:t>c</w:t>
      </w:r>
      <w:r w:rsidRPr="00D919E7">
        <w:rPr>
          <w:rFonts w:ascii="Times New Roman" w:eastAsia="Times New Roman" w:hAnsi="Times New Roman" w:cs="Times New Roman"/>
          <w:b/>
          <w:bCs/>
        </w:rPr>
        <w:t xml:space="preserve">onditional </w:t>
      </w:r>
      <w:r w:rsidRPr="00D919E7">
        <w:rPr>
          <w:rFonts w:ascii="Times New Roman" w:eastAsia="Times New Roman" w:hAnsi="Times New Roman" w:cs="Times New Roman"/>
          <w:b/>
          <w:bCs/>
        </w:rPr>
        <w:t>i</w:t>
      </w:r>
      <w:r w:rsidRPr="00D919E7">
        <w:rPr>
          <w:rFonts w:ascii="Times New Roman" w:eastAsia="Times New Roman" w:hAnsi="Times New Roman" w:cs="Times New Roman"/>
          <w:b/>
          <w:bCs/>
        </w:rPr>
        <w:t>nterpretation</w:t>
      </w:r>
      <w:r w:rsidRPr="00D919E7">
        <w:rPr>
          <w:rFonts w:ascii="Times New Roman" w:eastAsia="Times New Roman" w:hAnsi="Times New Roman" w:cs="Times New Roman"/>
        </w:rPr>
        <w:t>, where t</w:t>
      </w:r>
      <w:r w:rsidRPr="00D919E7">
        <w:rPr>
          <w:rFonts w:ascii="Times New Roman" w:eastAsia="Times New Roman" w:hAnsi="Times New Roman" w:cs="Times New Roman"/>
        </w:rPr>
        <w:t xml:space="preserve">he main clause is contingent upon the being-clause as a condition. For instance, </w:t>
      </w:r>
      <w:r>
        <w:rPr>
          <w:rFonts w:ascii="Times New Roman" w:eastAsia="Times New Roman" w:hAnsi="Times New Roman" w:cs="Times New Roman"/>
        </w:rPr>
        <w:t xml:space="preserve">one could see </w:t>
      </w:r>
      <w:r w:rsidRPr="00D919E7">
        <w:rPr>
          <w:rFonts w:ascii="Times New Roman" w:eastAsia="Times New Roman" w:hAnsi="Times New Roman" w:cs="Times New Roman"/>
        </w:rPr>
        <w:t>if a well-regulated militia is necessary, then the right to bear arms shall not be infringed.</w:t>
      </w:r>
      <w:r w:rsidRPr="00D919E7">
        <w:rPr>
          <w:rFonts w:ascii="Times New Roman" w:hAnsi="Times New Roman" w:cs="Times New Roman"/>
        </w:rPr>
        <w:t xml:space="preserve"> The third is the </w:t>
      </w:r>
      <w:r w:rsidRPr="00D919E7">
        <w:rPr>
          <w:rFonts w:ascii="Times New Roman" w:eastAsia="Times New Roman" w:hAnsi="Times New Roman" w:cs="Times New Roman"/>
          <w:b/>
          <w:bCs/>
        </w:rPr>
        <w:t>e</w:t>
      </w:r>
      <w:r w:rsidRPr="00D919E7">
        <w:rPr>
          <w:rFonts w:ascii="Times New Roman" w:eastAsia="Times New Roman" w:hAnsi="Times New Roman" w:cs="Times New Roman"/>
          <w:b/>
          <w:bCs/>
        </w:rPr>
        <w:t xml:space="preserve">xternal </w:t>
      </w:r>
      <w:r w:rsidRPr="00D919E7">
        <w:rPr>
          <w:rFonts w:ascii="Times New Roman" w:eastAsia="Times New Roman" w:hAnsi="Times New Roman" w:cs="Times New Roman"/>
          <w:b/>
          <w:bCs/>
        </w:rPr>
        <w:t>c</w:t>
      </w:r>
      <w:r w:rsidRPr="00D919E7">
        <w:rPr>
          <w:rFonts w:ascii="Times New Roman" w:eastAsia="Times New Roman" w:hAnsi="Times New Roman" w:cs="Times New Roman"/>
          <w:b/>
          <w:bCs/>
        </w:rPr>
        <w:t xml:space="preserve">ausal </w:t>
      </w:r>
      <w:r w:rsidRPr="00D919E7">
        <w:rPr>
          <w:rFonts w:ascii="Times New Roman" w:eastAsia="Times New Roman" w:hAnsi="Times New Roman" w:cs="Times New Roman"/>
          <w:b/>
          <w:bCs/>
        </w:rPr>
        <w:t>i</w:t>
      </w:r>
      <w:r w:rsidRPr="00D919E7">
        <w:rPr>
          <w:rFonts w:ascii="Times New Roman" w:eastAsia="Times New Roman" w:hAnsi="Times New Roman" w:cs="Times New Roman"/>
          <w:b/>
          <w:bCs/>
        </w:rPr>
        <w:t>nterpretation</w:t>
      </w:r>
      <w:r w:rsidRPr="00D919E7">
        <w:rPr>
          <w:rFonts w:ascii="Times New Roman" w:eastAsia="Times New Roman" w:hAnsi="Times New Roman" w:cs="Times New Roman"/>
        </w:rPr>
        <w:t>, that being t</w:t>
      </w:r>
      <w:r w:rsidRPr="00D919E7">
        <w:rPr>
          <w:rFonts w:ascii="Times New Roman" w:eastAsia="Times New Roman" w:hAnsi="Times New Roman" w:cs="Times New Roman"/>
        </w:rPr>
        <w:t>he being-clause provides a real-world cause for the main clause. In this case, the right to bear arms shall not be infringed for the purpose of maintaining a well-regulated militia necessary for the security of a free state.</w:t>
      </w:r>
      <w:r w:rsidRPr="00D919E7">
        <w:rPr>
          <w:rFonts w:ascii="Times New Roman" w:eastAsia="Times New Roman" w:hAnsi="Times New Roman" w:cs="Times New Roman"/>
        </w:rPr>
        <w:t xml:space="preserve"> The fourth is the </w:t>
      </w:r>
      <w:r w:rsidRPr="00D919E7">
        <w:rPr>
          <w:rFonts w:ascii="Times New Roman" w:eastAsia="Times New Roman" w:hAnsi="Times New Roman" w:cs="Times New Roman"/>
          <w:b/>
          <w:bCs/>
        </w:rPr>
        <w:t>i</w:t>
      </w:r>
      <w:r w:rsidRPr="00D919E7">
        <w:rPr>
          <w:rFonts w:ascii="Times New Roman" w:eastAsia="Times New Roman" w:hAnsi="Times New Roman" w:cs="Times New Roman"/>
          <w:b/>
          <w:bCs/>
        </w:rPr>
        <w:t xml:space="preserve">nternal </w:t>
      </w:r>
      <w:r w:rsidRPr="00D919E7">
        <w:rPr>
          <w:rFonts w:ascii="Times New Roman" w:eastAsia="Times New Roman" w:hAnsi="Times New Roman" w:cs="Times New Roman"/>
          <w:b/>
          <w:bCs/>
        </w:rPr>
        <w:t>c</w:t>
      </w:r>
      <w:r w:rsidRPr="00D919E7">
        <w:rPr>
          <w:rFonts w:ascii="Times New Roman" w:eastAsia="Times New Roman" w:hAnsi="Times New Roman" w:cs="Times New Roman"/>
          <w:b/>
          <w:bCs/>
        </w:rPr>
        <w:t xml:space="preserve">ausal </w:t>
      </w:r>
      <w:r w:rsidRPr="00D919E7">
        <w:rPr>
          <w:rFonts w:ascii="Times New Roman" w:eastAsia="Times New Roman" w:hAnsi="Times New Roman" w:cs="Times New Roman"/>
          <w:b/>
          <w:bCs/>
        </w:rPr>
        <w:t>i</w:t>
      </w:r>
      <w:r w:rsidRPr="00D919E7">
        <w:rPr>
          <w:rFonts w:ascii="Times New Roman" w:eastAsia="Times New Roman" w:hAnsi="Times New Roman" w:cs="Times New Roman"/>
          <w:b/>
          <w:bCs/>
        </w:rPr>
        <w:t>nterpretation</w:t>
      </w:r>
      <w:r w:rsidRPr="00D919E7">
        <w:rPr>
          <w:rFonts w:ascii="Times New Roman" w:eastAsia="Times New Roman" w:hAnsi="Times New Roman" w:cs="Times New Roman"/>
        </w:rPr>
        <w:t>, that being t</w:t>
      </w:r>
      <w:r w:rsidRPr="00D919E7">
        <w:rPr>
          <w:rFonts w:ascii="Times New Roman" w:eastAsia="Times New Roman" w:hAnsi="Times New Roman" w:cs="Times New Roman"/>
        </w:rPr>
        <w:t>he being-clause gives a logical reason or justification for the main clause. Here</w:t>
      </w:r>
      <w:r>
        <w:rPr>
          <w:rFonts w:ascii="Times New Roman" w:eastAsia="Times New Roman" w:hAnsi="Times New Roman" w:cs="Times New Roman"/>
        </w:rPr>
        <w:t xml:space="preserve"> one could write,</w:t>
      </w:r>
      <w:r w:rsidRPr="00D919E7">
        <w:rPr>
          <w:rFonts w:ascii="Times New Roman" w:eastAsia="Times New Roman" w:hAnsi="Times New Roman" w:cs="Times New Roman"/>
        </w:rPr>
        <w:t xml:space="preserve"> "because it is known that a well-regulated militia is necessary for the security of a free state, the right to bear arms shall not be infringed."</w:t>
      </w:r>
    </w:p>
    <w:p w14:paraId="28D5C5B2" w14:textId="77777777" w:rsidR="00D919E7" w:rsidRDefault="00D919E7" w:rsidP="00F9003A">
      <w:pPr>
        <w:rPr>
          <w:rFonts w:ascii="Times New Roman" w:hAnsi="Times New Roman" w:cs="Times New Roman"/>
        </w:rPr>
      </w:pPr>
    </w:p>
    <w:p w14:paraId="7DC251B5" w14:textId="46D152CE" w:rsidR="00D919E7" w:rsidRDefault="00D919E7" w:rsidP="00F9003A">
      <w:pPr>
        <w:rPr>
          <w:rFonts w:ascii="Times New Roman" w:hAnsi="Times New Roman" w:cs="Times New Roman"/>
        </w:rPr>
      </w:pPr>
      <w:r>
        <w:rPr>
          <w:rFonts w:ascii="Times New Roman" w:hAnsi="Times New Roman" w:cs="Times New Roman"/>
        </w:rPr>
        <w:t>Building a further set of stimuli to test the these clause structures given the “being-clauses” would be the next step.</w:t>
      </w:r>
    </w:p>
    <w:p w14:paraId="6D663CEF" w14:textId="77777777" w:rsidR="00F9003A" w:rsidRDefault="00F9003A" w:rsidP="00F9003A">
      <w:pPr>
        <w:rPr>
          <w:rFonts w:ascii="Times New Roman" w:hAnsi="Times New Roman" w:cs="Times New Roman"/>
        </w:rPr>
      </w:pPr>
    </w:p>
    <w:p w14:paraId="59CC1C0E" w14:textId="51A3D181" w:rsidR="00F9003A" w:rsidRDefault="00F9003A" w:rsidP="00F9003A">
      <w:pPr>
        <w:rPr>
          <w:rFonts w:ascii="Times New Roman" w:hAnsi="Times New Roman" w:cs="Times New Roman"/>
          <w:b/>
          <w:bCs/>
        </w:rPr>
      </w:pPr>
    </w:p>
    <w:p w14:paraId="39A0B725" w14:textId="1AF7FCDE" w:rsidR="00C329CD" w:rsidRPr="00C329CD" w:rsidRDefault="00C329CD" w:rsidP="00F9003A">
      <w:pPr>
        <w:rPr>
          <w:rFonts w:ascii="Times New Roman" w:hAnsi="Times New Roman" w:cs="Times New Roman"/>
          <w:b/>
          <w:bCs/>
        </w:rPr>
      </w:pPr>
    </w:p>
    <w:p w14:paraId="3D801D9B" w14:textId="77777777" w:rsidR="00F9003A" w:rsidRDefault="00F9003A" w:rsidP="00F9003A">
      <w:pPr>
        <w:rPr>
          <w:rFonts w:ascii="Times New Roman" w:hAnsi="Times New Roman" w:cs="Times New Roman"/>
        </w:rPr>
      </w:pPr>
    </w:p>
    <w:sectPr w:rsidR="00F9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18F"/>
    <w:multiLevelType w:val="hybridMultilevel"/>
    <w:tmpl w:val="1A2C5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51F5D"/>
    <w:multiLevelType w:val="multilevel"/>
    <w:tmpl w:val="C5B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79E"/>
    <w:multiLevelType w:val="multilevel"/>
    <w:tmpl w:val="8AFA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F35A9"/>
    <w:multiLevelType w:val="hybridMultilevel"/>
    <w:tmpl w:val="C85AE04A"/>
    <w:lvl w:ilvl="0" w:tplc="4BB6EB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A7351"/>
    <w:multiLevelType w:val="multilevel"/>
    <w:tmpl w:val="759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43C64"/>
    <w:multiLevelType w:val="multilevel"/>
    <w:tmpl w:val="ED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18A0"/>
    <w:multiLevelType w:val="multilevel"/>
    <w:tmpl w:val="DBBE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A5978"/>
    <w:multiLevelType w:val="multilevel"/>
    <w:tmpl w:val="109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1D5B"/>
    <w:multiLevelType w:val="multilevel"/>
    <w:tmpl w:val="E384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6598B"/>
    <w:multiLevelType w:val="hybridMultilevel"/>
    <w:tmpl w:val="09EAA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012602">
    <w:abstractNumId w:val="8"/>
  </w:num>
  <w:num w:numId="2" w16cid:durableId="1398749580">
    <w:abstractNumId w:val="2"/>
  </w:num>
  <w:num w:numId="3" w16cid:durableId="410667009">
    <w:abstractNumId w:val="9"/>
  </w:num>
  <w:num w:numId="4" w16cid:durableId="282424962">
    <w:abstractNumId w:val="3"/>
  </w:num>
  <w:num w:numId="5" w16cid:durableId="508101359">
    <w:abstractNumId w:val="4"/>
  </w:num>
  <w:num w:numId="6" w16cid:durableId="72239200">
    <w:abstractNumId w:val="5"/>
  </w:num>
  <w:num w:numId="7" w16cid:durableId="23217966">
    <w:abstractNumId w:val="7"/>
  </w:num>
  <w:num w:numId="8" w16cid:durableId="277570738">
    <w:abstractNumId w:val="1"/>
  </w:num>
  <w:num w:numId="9" w16cid:durableId="1354040820">
    <w:abstractNumId w:val="0"/>
  </w:num>
  <w:num w:numId="10" w16cid:durableId="1818296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E1"/>
    <w:rsid w:val="000D481E"/>
    <w:rsid w:val="002660C5"/>
    <w:rsid w:val="002D0A6F"/>
    <w:rsid w:val="003D6520"/>
    <w:rsid w:val="00434045"/>
    <w:rsid w:val="0056094A"/>
    <w:rsid w:val="006247BA"/>
    <w:rsid w:val="00682FCC"/>
    <w:rsid w:val="0082066F"/>
    <w:rsid w:val="0084428B"/>
    <w:rsid w:val="00852DA0"/>
    <w:rsid w:val="008C2433"/>
    <w:rsid w:val="00993B9F"/>
    <w:rsid w:val="00A57043"/>
    <w:rsid w:val="00A96A20"/>
    <w:rsid w:val="00AF2CE1"/>
    <w:rsid w:val="00C329CD"/>
    <w:rsid w:val="00D80018"/>
    <w:rsid w:val="00D919E7"/>
    <w:rsid w:val="00DB7AC5"/>
    <w:rsid w:val="00E4721A"/>
    <w:rsid w:val="00F57353"/>
    <w:rsid w:val="00F9003A"/>
    <w:rsid w:val="00F91B0D"/>
    <w:rsid w:val="00FD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B625F"/>
  <w15:chartTrackingRefBased/>
  <w15:docId w15:val="{EF573E9E-9164-9345-AE6C-383636FF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E1"/>
    <w:rPr>
      <w:kern w:val="0"/>
      <w14:ligatures w14:val="none"/>
    </w:rPr>
  </w:style>
  <w:style w:type="paragraph" w:styleId="Heading1">
    <w:name w:val="heading 1"/>
    <w:basedOn w:val="Normal"/>
    <w:next w:val="Normal"/>
    <w:link w:val="Heading1Char"/>
    <w:uiPriority w:val="9"/>
    <w:qFormat/>
    <w:rsid w:val="00AF2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C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C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C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C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CE1"/>
    <w:rPr>
      <w:rFonts w:eastAsiaTheme="majorEastAsia" w:cstheme="majorBidi"/>
      <w:color w:val="272727" w:themeColor="text1" w:themeTint="D8"/>
    </w:rPr>
  </w:style>
  <w:style w:type="paragraph" w:styleId="Title">
    <w:name w:val="Title"/>
    <w:basedOn w:val="Normal"/>
    <w:next w:val="Normal"/>
    <w:link w:val="TitleChar"/>
    <w:uiPriority w:val="10"/>
    <w:qFormat/>
    <w:rsid w:val="00AF2C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C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C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2CE1"/>
    <w:rPr>
      <w:i/>
      <w:iCs/>
      <w:color w:val="404040" w:themeColor="text1" w:themeTint="BF"/>
    </w:rPr>
  </w:style>
  <w:style w:type="paragraph" w:styleId="ListParagraph">
    <w:name w:val="List Paragraph"/>
    <w:basedOn w:val="Normal"/>
    <w:uiPriority w:val="34"/>
    <w:qFormat/>
    <w:rsid w:val="00AF2CE1"/>
    <w:pPr>
      <w:ind w:left="720"/>
      <w:contextualSpacing/>
    </w:pPr>
  </w:style>
  <w:style w:type="character" w:styleId="IntenseEmphasis">
    <w:name w:val="Intense Emphasis"/>
    <w:basedOn w:val="DefaultParagraphFont"/>
    <w:uiPriority w:val="21"/>
    <w:qFormat/>
    <w:rsid w:val="00AF2CE1"/>
    <w:rPr>
      <w:i/>
      <w:iCs/>
      <w:color w:val="0F4761" w:themeColor="accent1" w:themeShade="BF"/>
    </w:rPr>
  </w:style>
  <w:style w:type="paragraph" w:styleId="IntenseQuote">
    <w:name w:val="Intense Quote"/>
    <w:basedOn w:val="Normal"/>
    <w:next w:val="Normal"/>
    <w:link w:val="IntenseQuoteChar"/>
    <w:uiPriority w:val="30"/>
    <w:qFormat/>
    <w:rsid w:val="00AF2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CE1"/>
    <w:rPr>
      <w:i/>
      <w:iCs/>
      <w:color w:val="0F4761" w:themeColor="accent1" w:themeShade="BF"/>
    </w:rPr>
  </w:style>
  <w:style w:type="character" w:styleId="IntenseReference">
    <w:name w:val="Intense Reference"/>
    <w:basedOn w:val="DefaultParagraphFont"/>
    <w:uiPriority w:val="32"/>
    <w:qFormat/>
    <w:rsid w:val="00AF2CE1"/>
    <w:rPr>
      <w:b/>
      <w:bCs/>
      <w:smallCaps/>
      <w:color w:val="0F4761" w:themeColor="accent1" w:themeShade="BF"/>
      <w:spacing w:val="5"/>
    </w:rPr>
  </w:style>
  <w:style w:type="character" w:styleId="Hyperlink">
    <w:name w:val="Hyperlink"/>
    <w:basedOn w:val="DefaultParagraphFont"/>
    <w:uiPriority w:val="99"/>
    <w:unhideWhenUsed/>
    <w:rsid w:val="00682FCC"/>
    <w:rPr>
      <w:color w:val="467886" w:themeColor="hyperlink"/>
      <w:u w:val="single"/>
    </w:rPr>
  </w:style>
  <w:style w:type="character" w:styleId="UnresolvedMention">
    <w:name w:val="Unresolved Mention"/>
    <w:basedOn w:val="DefaultParagraphFont"/>
    <w:uiPriority w:val="99"/>
    <w:semiHidden/>
    <w:unhideWhenUsed/>
    <w:rsid w:val="00682FCC"/>
    <w:rPr>
      <w:color w:val="605E5C"/>
      <w:shd w:val="clear" w:color="auto" w:fill="E1DFDD"/>
    </w:rPr>
  </w:style>
  <w:style w:type="paragraph" w:styleId="NormalWeb">
    <w:name w:val="Normal (Web)"/>
    <w:basedOn w:val="Normal"/>
    <w:uiPriority w:val="99"/>
    <w:semiHidden/>
    <w:unhideWhenUsed/>
    <w:rsid w:val="00D919E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91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705232">
      <w:bodyDiv w:val="1"/>
      <w:marLeft w:val="0"/>
      <w:marRight w:val="0"/>
      <w:marTop w:val="0"/>
      <w:marBottom w:val="0"/>
      <w:divBdr>
        <w:top w:val="none" w:sz="0" w:space="0" w:color="auto"/>
        <w:left w:val="none" w:sz="0" w:space="0" w:color="auto"/>
        <w:bottom w:val="none" w:sz="0" w:space="0" w:color="auto"/>
        <w:right w:val="none" w:sz="0" w:space="0" w:color="auto"/>
      </w:divBdr>
    </w:div>
    <w:div w:id="774255366">
      <w:bodyDiv w:val="1"/>
      <w:marLeft w:val="0"/>
      <w:marRight w:val="0"/>
      <w:marTop w:val="0"/>
      <w:marBottom w:val="0"/>
      <w:divBdr>
        <w:top w:val="none" w:sz="0" w:space="0" w:color="auto"/>
        <w:left w:val="none" w:sz="0" w:space="0" w:color="auto"/>
        <w:bottom w:val="none" w:sz="0" w:space="0" w:color="auto"/>
        <w:right w:val="none" w:sz="0" w:space="0" w:color="auto"/>
      </w:divBdr>
    </w:div>
    <w:div w:id="1030645226">
      <w:bodyDiv w:val="1"/>
      <w:marLeft w:val="0"/>
      <w:marRight w:val="0"/>
      <w:marTop w:val="0"/>
      <w:marBottom w:val="0"/>
      <w:divBdr>
        <w:top w:val="none" w:sz="0" w:space="0" w:color="auto"/>
        <w:left w:val="none" w:sz="0" w:space="0" w:color="auto"/>
        <w:bottom w:val="none" w:sz="0" w:space="0" w:color="auto"/>
        <w:right w:val="none" w:sz="0" w:space="0" w:color="auto"/>
      </w:divBdr>
    </w:div>
    <w:div w:id="1091049500">
      <w:bodyDiv w:val="1"/>
      <w:marLeft w:val="0"/>
      <w:marRight w:val="0"/>
      <w:marTop w:val="0"/>
      <w:marBottom w:val="0"/>
      <w:divBdr>
        <w:top w:val="none" w:sz="0" w:space="0" w:color="auto"/>
        <w:left w:val="none" w:sz="0" w:space="0" w:color="auto"/>
        <w:bottom w:val="none" w:sz="0" w:space="0" w:color="auto"/>
        <w:right w:val="none" w:sz="0" w:space="0" w:color="auto"/>
      </w:divBdr>
    </w:div>
    <w:div w:id="1115515266">
      <w:bodyDiv w:val="1"/>
      <w:marLeft w:val="0"/>
      <w:marRight w:val="0"/>
      <w:marTop w:val="0"/>
      <w:marBottom w:val="0"/>
      <w:divBdr>
        <w:top w:val="none" w:sz="0" w:space="0" w:color="auto"/>
        <w:left w:val="none" w:sz="0" w:space="0" w:color="auto"/>
        <w:bottom w:val="none" w:sz="0" w:space="0" w:color="auto"/>
        <w:right w:val="none" w:sz="0" w:space="0" w:color="auto"/>
      </w:divBdr>
    </w:div>
    <w:div w:id="1203789165">
      <w:bodyDiv w:val="1"/>
      <w:marLeft w:val="0"/>
      <w:marRight w:val="0"/>
      <w:marTop w:val="0"/>
      <w:marBottom w:val="0"/>
      <w:divBdr>
        <w:top w:val="none" w:sz="0" w:space="0" w:color="auto"/>
        <w:left w:val="none" w:sz="0" w:space="0" w:color="auto"/>
        <w:bottom w:val="none" w:sz="0" w:space="0" w:color="auto"/>
        <w:right w:val="none" w:sz="0" w:space="0" w:color="auto"/>
      </w:divBdr>
    </w:div>
    <w:div w:id="1382706959">
      <w:bodyDiv w:val="1"/>
      <w:marLeft w:val="0"/>
      <w:marRight w:val="0"/>
      <w:marTop w:val="0"/>
      <w:marBottom w:val="0"/>
      <w:divBdr>
        <w:top w:val="none" w:sz="0" w:space="0" w:color="auto"/>
        <w:left w:val="none" w:sz="0" w:space="0" w:color="auto"/>
        <w:bottom w:val="none" w:sz="0" w:space="0" w:color="auto"/>
        <w:right w:val="none" w:sz="0" w:space="0" w:color="auto"/>
      </w:divBdr>
    </w:div>
    <w:div w:id="1418821491">
      <w:bodyDiv w:val="1"/>
      <w:marLeft w:val="0"/>
      <w:marRight w:val="0"/>
      <w:marTop w:val="0"/>
      <w:marBottom w:val="0"/>
      <w:divBdr>
        <w:top w:val="none" w:sz="0" w:space="0" w:color="auto"/>
        <w:left w:val="none" w:sz="0" w:space="0" w:color="auto"/>
        <w:bottom w:val="none" w:sz="0" w:space="0" w:color="auto"/>
        <w:right w:val="none" w:sz="0" w:space="0" w:color="auto"/>
      </w:divBdr>
    </w:div>
    <w:div w:id="1505362066">
      <w:bodyDiv w:val="1"/>
      <w:marLeft w:val="0"/>
      <w:marRight w:val="0"/>
      <w:marTop w:val="0"/>
      <w:marBottom w:val="0"/>
      <w:divBdr>
        <w:top w:val="none" w:sz="0" w:space="0" w:color="auto"/>
        <w:left w:val="none" w:sz="0" w:space="0" w:color="auto"/>
        <w:bottom w:val="none" w:sz="0" w:space="0" w:color="auto"/>
        <w:right w:val="none" w:sz="0" w:space="0" w:color="auto"/>
      </w:divBdr>
    </w:div>
    <w:div w:id="1804807215">
      <w:bodyDiv w:val="1"/>
      <w:marLeft w:val="0"/>
      <w:marRight w:val="0"/>
      <w:marTop w:val="0"/>
      <w:marBottom w:val="0"/>
      <w:divBdr>
        <w:top w:val="none" w:sz="0" w:space="0" w:color="auto"/>
        <w:left w:val="none" w:sz="0" w:space="0" w:color="auto"/>
        <w:bottom w:val="none" w:sz="0" w:space="0" w:color="auto"/>
        <w:right w:val="none" w:sz="0" w:space="0" w:color="auto"/>
      </w:divBdr>
    </w:div>
    <w:div w:id="1821997072">
      <w:bodyDiv w:val="1"/>
      <w:marLeft w:val="0"/>
      <w:marRight w:val="0"/>
      <w:marTop w:val="0"/>
      <w:marBottom w:val="0"/>
      <w:divBdr>
        <w:top w:val="none" w:sz="0" w:space="0" w:color="auto"/>
        <w:left w:val="none" w:sz="0" w:space="0" w:color="auto"/>
        <w:bottom w:val="none" w:sz="0" w:space="0" w:color="auto"/>
        <w:right w:val="none" w:sz="0" w:space="0" w:color="auto"/>
      </w:divBdr>
    </w:div>
    <w:div w:id="1850364315">
      <w:bodyDiv w:val="1"/>
      <w:marLeft w:val="0"/>
      <w:marRight w:val="0"/>
      <w:marTop w:val="0"/>
      <w:marBottom w:val="0"/>
      <w:divBdr>
        <w:top w:val="none" w:sz="0" w:space="0" w:color="auto"/>
        <w:left w:val="none" w:sz="0" w:space="0" w:color="auto"/>
        <w:bottom w:val="none" w:sz="0" w:space="0" w:color="auto"/>
        <w:right w:val="none" w:sz="0" w:space="0" w:color="auto"/>
      </w:divBdr>
      <w:divsChild>
        <w:div w:id="91524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8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armslaw.duke.edu/2021/07/the-strange-syntax-of-the-second-amend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gkamper/secondamendmentdependencies" TargetMode="External"/><Relationship Id="rId5" Type="http://schemas.openxmlformats.org/officeDocument/2006/relationships/hyperlink" Target="https://github.com/dgkamper/secondamendmentdependenc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 Kamper</dc:creator>
  <cp:keywords/>
  <dc:description/>
  <cp:lastModifiedBy>David G. Kamper</cp:lastModifiedBy>
  <cp:revision>6</cp:revision>
  <dcterms:created xsi:type="dcterms:W3CDTF">2024-08-02T22:10:00Z</dcterms:created>
  <dcterms:modified xsi:type="dcterms:W3CDTF">2024-08-05T23:41:00Z</dcterms:modified>
</cp:coreProperties>
</file>